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9631">
      <w:pPr>
        <w:tabs>
          <w:tab w:val="left" w:pos="8999"/>
        </w:tabs>
        <w:spacing w:line="1040" w:lineRule="exact"/>
        <w:ind w:left="589"/>
        <w:rPr>
          <w:b/>
          <w:sz w:val="84"/>
        </w:rPr>
      </w:pPr>
      <w:bookmarkStart w:id="0" w:name="SectionMark0"/>
      <w:bookmarkStart w:id="1" w:name="_Toc12423"/>
      <w:bookmarkStart w:id="2" w:name="_Toc214784634"/>
      <w:bookmarkStart w:id="3" w:name="_Toc228009906"/>
      <w:bookmarkStart w:id="4" w:name="_Toc97551720"/>
      <w:bookmarkStart w:id="5" w:name="_Toc202253926"/>
      <w:bookmarkStart w:id="6" w:name="_Toc230437566"/>
      <w:bookmarkStart w:id="7" w:name="_Toc231200588"/>
      <w:bookmarkStart w:id="8" w:name="_Toc21482"/>
      <w:bookmarkStart w:id="9" w:name="_Toc361744773"/>
      <w:bookmarkStart w:id="10" w:name="_Toc16712"/>
      <w:bookmarkStart w:id="11" w:name="_Toc7793"/>
      <w:bookmarkStart w:id="12" w:name="_Toc373933682"/>
      <w:bookmarkStart w:id="13" w:name="_Toc99316031"/>
      <w:bookmarkStart w:id="14" w:name="_Toc25531"/>
      <w:bookmarkStart w:id="15" w:name="_Toc467247537"/>
      <w:bookmarkStart w:id="16" w:name="_Toc11039"/>
      <w:bookmarkStart w:id="17" w:name="_Toc202756193"/>
      <w:bookmarkStart w:id="18" w:name="_Toc231877817"/>
      <w:bookmarkStart w:id="19" w:name="_Toc223334452"/>
      <w:bookmarkStart w:id="20" w:name="_Toc364234162"/>
      <w:bookmarkStart w:id="21" w:name="_Toc467683255"/>
      <w:bookmarkStart w:id="22" w:name="_Toc11249"/>
      <w:bookmarkStart w:id="23" w:name="_Toc228699576"/>
      <w:bookmarkStart w:id="24" w:name="_Toc199578973"/>
      <w:bookmarkStart w:id="25" w:name="_Toc468776125"/>
      <w:bookmarkStart w:id="26" w:name="_Toc227722969"/>
      <w:bookmarkStart w:id="27" w:name="_Toc225845802"/>
      <w:bookmarkStart w:id="28" w:name="_Toc364233010"/>
      <w:bookmarkStart w:id="29" w:name="_Toc225740842"/>
      <w: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3111500</wp:posOffset>
                </wp:positionV>
                <wp:extent cx="7487285" cy="0"/>
                <wp:effectExtent l="0" t="4445" r="0" b="5080"/>
                <wp:wrapNone/>
                <wp:docPr id="2" name="直线 2"/>
                <wp:cNvGraphicFramePr/>
                <a:graphic xmlns:a="http://schemas.openxmlformats.org/drawingml/2006/main">
                  <a:graphicData uri="http://schemas.microsoft.com/office/word/2010/wordprocessingShape">
                    <wps:wsp>
                      <wps:cNvCnPr/>
                      <wps:spPr>
                        <a:xfrm>
                          <a:off x="0" y="0"/>
                          <a:ext cx="7487285" cy="0"/>
                        </a:xfrm>
                        <a:prstGeom prst="line">
                          <a:avLst/>
                        </a:prstGeom>
                        <a:ln w="9525" cap="flat" cmpd="sng">
                          <a:solidFill>
                            <a:srgbClr val="3C4F9B"/>
                          </a:solidFill>
                          <a:prstDash val="solid"/>
                          <a:headEnd type="none" w="med" len="med"/>
                          <a:tailEnd type="none" w="med" len="med"/>
                        </a:ln>
                      </wps:spPr>
                      <wps:bodyPr/>
                    </wps:wsp>
                  </a:graphicData>
                </a:graphic>
              </wp:anchor>
            </w:drawing>
          </mc:Choice>
          <mc:Fallback>
            <w:pict>
              <v:line id="直线 2" o:spid="_x0000_s1026" o:spt="20" style="position:absolute;left:0pt;margin-left:0pt;margin-top:245pt;height:0pt;width:589.55pt;mso-position-horizontal-relative:page;mso-position-vertical-relative:page;z-index:-251656192;mso-width-relative:page;mso-height-relative:page;" filled="f" stroked="t" coordsize="21600,21600" o:gfxdata="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u3DLdcAAAAJ&#10;AQAADwAAAAAAAAABACAAAAAiAAAAZHJzL2Rvd25yZXYueG1sUEsBAhQAFAAAAAgAh07iQNe9vWPk&#10;AQAAzwMAAA4AAAAAAAAAAQAgAAAAJgEAAGRycy9lMm9Eb2MueG1sUEsFBgAAAAAGAAYAWQEAAHwF&#10;AAAAAA==&#10;">
                <v:fill on="f" focussize="0,0"/>
                <v:stroke color="#3C4F9B"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10795</wp:posOffset>
                </wp:positionH>
                <wp:positionV relativeFrom="page">
                  <wp:posOffset>9044305</wp:posOffset>
                </wp:positionV>
                <wp:extent cx="7529195" cy="0"/>
                <wp:effectExtent l="0" t="5080" r="0" b="4445"/>
                <wp:wrapNone/>
                <wp:docPr id="3" name="直线 3"/>
                <wp:cNvGraphicFramePr/>
                <a:graphic xmlns:a="http://schemas.openxmlformats.org/drawingml/2006/main">
                  <a:graphicData uri="http://schemas.microsoft.com/office/word/2010/wordprocessingShape">
                    <wps:wsp>
                      <wps:cNvCnPr/>
                      <wps:spPr>
                        <a:xfrm>
                          <a:off x="0" y="0"/>
                          <a:ext cx="7529195" cy="0"/>
                        </a:xfrm>
                        <a:prstGeom prst="line">
                          <a:avLst/>
                        </a:prstGeom>
                        <a:ln w="7620" cap="flat" cmpd="sng">
                          <a:solidFill>
                            <a:srgbClr val="3C4F9B"/>
                          </a:solidFill>
                          <a:prstDash val="solid"/>
                          <a:headEnd type="none" w="med" len="med"/>
                          <a:tailEnd type="none" w="med" len="med"/>
                        </a:ln>
                      </wps:spPr>
                      <wps:bodyPr/>
                    </wps:wsp>
                  </a:graphicData>
                </a:graphic>
              </wp:anchor>
            </w:drawing>
          </mc:Choice>
          <mc:Fallback>
            <w:pict>
              <v:line id="直线 3" o:spid="_x0000_s1026" o:spt="20" style="position:absolute;left:0pt;margin-left:0.85pt;margin-top:712.15pt;height:0pt;width:592.85pt;mso-position-horizontal-relative:page;mso-position-vertical-relative:page;z-index:251661312;mso-width-relative:page;mso-height-relative:page;" filled="f" stroked="t" coordsize="21600,21600" o:gfxdata="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d8idgAAAAM&#10;AQAADwAAAAAAAAABACAAAAAiAAAAZHJzL2Rvd25yZXYueG1sUEsBAhQAFAAAAAgAh07iQMo60v3j&#10;AQAAzwMAAA4AAAAAAAAAAQAgAAAAJwEAAGRycy9lMm9Eb2MueG1sUEsFBgAAAAAGAAYAWQEAAHwF&#10;AAAAAA==&#10;">
                <v:fill on="f" focussize="0,0"/>
                <v:stroke weight="0.6pt" color="#3C4F9B" joinstyle="round"/>
                <v:imagedata o:title=""/>
                <o:lock v:ext="edit" aspectratio="f"/>
              </v:line>
            </w:pict>
          </mc:Fallback>
        </mc:AlternateContent>
      </w:r>
      <w:r>
        <w:rPr>
          <w:rFonts w:ascii="Times New Roman"/>
          <w:color w:val="3C4F9B"/>
          <w:sz w:val="24"/>
        </w:rPr>
        <w:t>ICS</w:t>
      </w:r>
      <w:r>
        <w:rPr>
          <w:rFonts w:ascii="Times New Roman"/>
          <w:color w:val="3C4F9B"/>
          <w:sz w:val="24"/>
        </w:rPr>
        <w:tab/>
      </w:r>
      <w:r>
        <w:rPr>
          <w:b/>
          <w:color w:val="3C4F9B"/>
          <w:position w:val="1"/>
          <w:sz w:val="84"/>
        </w:rPr>
        <w:t>TB</w:t>
      </w:r>
    </w:p>
    <w:p w14:paraId="3105B449">
      <w:pPr>
        <w:pStyle w:val="9"/>
        <w:rPr>
          <w:b/>
          <w:sz w:val="20"/>
        </w:rPr>
      </w:pPr>
    </w:p>
    <w:p w14:paraId="42E2303B">
      <w:pPr>
        <w:pStyle w:val="9"/>
        <w:rPr>
          <w:b/>
          <w:sz w:val="20"/>
        </w:rPr>
      </w:pPr>
    </w:p>
    <w:p w14:paraId="7A612DDB">
      <w:pPr>
        <w:pStyle w:val="9"/>
        <w:spacing w:before="5"/>
        <w:rPr>
          <w:b/>
          <w:sz w:val="28"/>
        </w:rPr>
      </w:pPr>
    </w:p>
    <w:p w14:paraId="7D29365F">
      <w:pPr>
        <w:tabs>
          <w:tab w:val="left" w:pos="2760"/>
          <w:tab w:val="left" w:pos="5076"/>
          <w:tab w:val="left" w:pos="7394"/>
        </w:tabs>
        <w:spacing w:line="1059" w:lineRule="exact"/>
        <w:ind w:left="441"/>
        <w:jc w:val="center"/>
        <w:rPr>
          <w:rFonts w:ascii="黑体" w:eastAsia="黑体"/>
          <w:sz w:val="84"/>
        </w:rPr>
      </w:pPr>
      <w:r>
        <w:rPr>
          <w:rFonts w:hint="eastAsia" w:ascii="黑体" w:eastAsia="黑体"/>
          <w:color w:val="3C4F9B"/>
          <w:sz w:val="84"/>
        </w:rPr>
        <w:t>团</w:t>
      </w:r>
      <w:r>
        <w:rPr>
          <w:rFonts w:hint="eastAsia" w:ascii="黑体" w:eastAsia="黑体"/>
          <w:color w:val="3C4F9B"/>
          <w:sz w:val="84"/>
        </w:rPr>
        <w:tab/>
      </w:r>
      <w:r>
        <w:rPr>
          <w:rFonts w:hint="eastAsia" w:ascii="黑体" w:eastAsia="黑体"/>
          <w:color w:val="3C4F9B"/>
          <w:sz w:val="84"/>
        </w:rPr>
        <w:t>体</w:t>
      </w:r>
      <w:r>
        <w:rPr>
          <w:rFonts w:hint="eastAsia" w:ascii="黑体" w:eastAsia="黑体"/>
          <w:color w:val="3C4F9B"/>
          <w:sz w:val="84"/>
        </w:rPr>
        <w:tab/>
      </w:r>
      <w:r>
        <w:rPr>
          <w:rFonts w:hint="eastAsia" w:ascii="黑体" w:eastAsia="黑体"/>
          <w:color w:val="3C4F9B"/>
          <w:sz w:val="84"/>
        </w:rPr>
        <w:t>标</w:t>
      </w:r>
      <w:r>
        <w:rPr>
          <w:rFonts w:hint="eastAsia" w:ascii="黑体" w:eastAsia="黑体"/>
          <w:color w:val="3C4F9B"/>
          <w:sz w:val="84"/>
        </w:rPr>
        <w:tab/>
      </w:r>
      <w:r>
        <w:rPr>
          <w:rFonts w:hint="eastAsia" w:ascii="黑体" w:eastAsia="黑体"/>
          <w:color w:val="3C4F9B"/>
          <w:sz w:val="84"/>
        </w:rPr>
        <w:t>准</w:t>
      </w:r>
    </w:p>
    <w:p w14:paraId="3117D89E">
      <w:pPr>
        <w:pStyle w:val="3"/>
        <w:tabs>
          <w:tab w:val="left" w:pos="1555"/>
        </w:tabs>
        <w:spacing w:before="481"/>
        <w:ind w:right="264"/>
        <w:jc w:val="right"/>
        <w:rPr>
          <w:rFonts w:ascii="宋体" w:hAnsi="宋体" w:eastAsia="宋体" w:cs="宋体"/>
          <w:b w:val="0"/>
          <w:bCs w:val="0"/>
          <w:sz w:val="24"/>
          <w:szCs w:val="24"/>
        </w:rPr>
      </w:pPr>
      <w:bookmarkStart w:id="30" w:name="_Toc8575"/>
      <w:r>
        <w:rPr>
          <w:rFonts w:hint="eastAsia" w:ascii="宋体" w:hAnsi="宋体" w:eastAsia="宋体" w:cs="宋体"/>
          <w:b w:val="0"/>
          <w:bCs w:val="0"/>
          <w:color w:val="3C4F9B"/>
          <w:sz w:val="24"/>
          <w:szCs w:val="24"/>
        </w:rPr>
        <w:t>T/QDCIAT</w:t>
      </w:r>
      <w:r>
        <w:rPr>
          <w:rFonts w:hint="eastAsia" w:ascii="宋体" w:hAnsi="宋体" w:eastAsia="宋体" w:cs="宋体"/>
          <w:b w:val="0"/>
          <w:bCs w:val="0"/>
          <w:color w:val="3C4F9B"/>
          <w:sz w:val="24"/>
          <w:szCs w:val="24"/>
        </w:rPr>
        <w:tab/>
      </w:r>
      <w:r>
        <w:rPr>
          <w:rFonts w:hint="eastAsia" w:ascii="宋体" w:hAnsi="宋体" w:eastAsia="宋体" w:cs="宋体"/>
          <w:b w:val="0"/>
          <w:bCs w:val="0"/>
          <w:color w:val="3C4F9B"/>
          <w:spacing w:val="-1"/>
          <w:sz w:val="24"/>
          <w:szCs w:val="24"/>
        </w:rPr>
        <w:t>XX-2024</w:t>
      </w:r>
      <w:bookmarkEnd w:id="30"/>
    </w:p>
    <w:p w14:paraId="7ADDF3D8">
      <w:pPr>
        <w:pStyle w:val="9"/>
        <w:rPr>
          <w:rFonts w:ascii="Times New Roman"/>
          <w:sz w:val="30"/>
        </w:rPr>
      </w:pPr>
    </w:p>
    <w:p w14:paraId="2FE0AC7E">
      <w:pPr>
        <w:pStyle w:val="9"/>
        <w:spacing w:before="6"/>
        <w:rPr>
          <w:rFonts w:ascii="Times New Roman"/>
          <w:sz w:val="44"/>
        </w:rPr>
      </w:pPr>
    </w:p>
    <w:p w14:paraId="59461D89">
      <w:pPr>
        <w:ind w:left="10"/>
        <w:jc w:val="center"/>
        <w:rPr>
          <w:rFonts w:ascii="黑体" w:eastAsia="黑体"/>
          <w:sz w:val="52"/>
        </w:rPr>
      </w:pPr>
      <w:r>
        <w:rPr>
          <w:rFonts w:hint="eastAsia" w:ascii="黑体" w:eastAsia="黑体"/>
          <w:color w:val="3C4F9B"/>
          <w:sz w:val="52"/>
        </w:rPr>
        <w:t>智慧化工地建设标准</w:t>
      </w:r>
    </w:p>
    <w:p w14:paraId="71E800B6">
      <w:pPr>
        <w:widowControl/>
        <w:jc w:val="center"/>
        <w:rPr>
          <w:rFonts w:ascii="Times New Roman" w:hAnsi="Times New Roman"/>
          <w:color w:val="3D4F9B"/>
          <w:sz w:val="32"/>
          <w:szCs w:val="32"/>
          <w:lang w:bidi="ar"/>
        </w:rPr>
      </w:pPr>
    </w:p>
    <w:p w14:paraId="6C702E31">
      <w:pPr>
        <w:widowControl/>
        <w:jc w:val="center"/>
        <w:rPr>
          <w:rFonts w:ascii="宋体" w:hAnsi="宋体" w:cs="宋体"/>
          <w:sz w:val="32"/>
          <w:szCs w:val="32"/>
        </w:rPr>
      </w:pPr>
      <w:r>
        <w:rPr>
          <w:rFonts w:hint="eastAsia" w:ascii="宋体" w:hAnsi="宋体" w:cs="宋体"/>
          <w:color w:val="3C4F9B"/>
          <w:sz w:val="32"/>
          <w:szCs w:val="32"/>
        </w:rPr>
        <w:t>Construct standard for smart construction site</w:t>
      </w:r>
    </w:p>
    <w:p w14:paraId="26A8F32E">
      <w:pPr>
        <w:pStyle w:val="9"/>
        <w:rPr>
          <w:rFonts w:ascii="Times New Roman"/>
          <w:sz w:val="20"/>
        </w:rPr>
      </w:pPr>
    </w:p>
    <w:p w14:paraId="3A85FC69">
      <w:pPr>
        <w:pStyle w:val="9"/>
        <w:rPr>
          <w:rFonts w:ascii="Times New Roman"/>
          <w:sz w:val="20"/>
        </w:rPr>
      </w:pPr>
    </w:p>
    <w:p w14:paraId="413113AC">
      <w:pPr>
        <w:pStyle w:val="9"/>
        <w:rPr>
          <w:rFonts w:ascii="Times New Roman"/>
          <w:sz w:val="20"/>
        </w:rPr>
      </w:pPr>
    </w:p>
    <w:p w14:paraId="12CC8AEC">
      <w:pPr>
        <w:pStyle w:val="9"/>
        <w:rPr>
          <w:rFonts w:ascii="Times New Roman"/>
          <w:sz w:val="20"/>
        </w:rPr>
      </w:pPr>
    </w:p>
    <w:p w14:paraId="4BFA469E">
      <w:pPr>
        <w:pStyle w:val="9"/>
        <w:jc w:val="center"/>
        <w:rPr>
          <w:rFonts w:ascii="Times New Roman"/>
          <w:sz w:val="20"/>
        </w:rPr>
      </w:pPr>
      <w:r>
        <w:rPr>
          <w:rFonts w:hint="eastAsia" w:ascii="黑体" w:eastAsia="黑体"/>
          <w:color w:val="3C4F9B"/>
          <w:sz w:val="32"/>
          <w:szCs w:val="32"/>
        </w:rPr>
        <w:t>(</w:t>
      </w:r>
      <w:r>
        <w:rPr>
          <w:rFonts w:hint="eastAsia" w:ascii="黑体" w:eastAsia="黑体"/>
          <w:color w:val="3C4F9B"/>
          <w:sz w:val="32"/>
          <w:szCs w:val="32"/>
          <w:lang w:val="en-US" w:eastAsia="zh-CN"/>
        </w:rPr>
        <w:t>修订</w:t>
      </w:r>
      <w:r>
        <w:rPr>
          <w:rFonts w:hint="eastAsia" w:ascii="黑体" w:eastAsia="黑体"/>
          <w:color w:val="3C4F9B"/>
          <w:sz w:val="32"/>
          <w:szCs w:val="32"/>
        </w:rPr>
        <w:t>征求意见稿)</w:t>
      </w:r>
    </w:p>
    <w:p w14:paraId="5B73EECB">
      <w:pPr>
        <w:pStyle w:val="9"/>
        <w:jc w:val="center"/>
        <w:rPr>
          <w:rFonts w:ascii="Times New Roman"/>
          <w:sz w:val="20"/>
        </w:rPr>
      </w:pPr>
    </w:p>
    <w:p w14:paraId="099CC1F5">
      <w:pPr>
        <w:pStyle w:val="9"/>
        <w:rPr>
          <w:rFonts w:ascii="Times New Roman"/>
          <w:sz w:val="20"/>
        </w:rPr>
      </w:pPr>
      <w:bookmarkStart w:id="117" w:name="_GoBack"/>
      <w:bookmarkEnd w:id="117"/>
    </w:p>
    <w:p w14:paraId="5DC9902B">
      <w:pPr>
        <w:pStyle w:val="9"/>
        <w:rPr>
          <w:rFonts w:ascii="Times New Roman"/>
          <w:sz w:val="20"/>
        </w:rPr>
      </w:pPr>
    </w:p>
    <w:p w14:paraId="18ACBC5B">
      <w:pPr>
        <w:pStyle w:val="9"/>
        <w:rPr>
          <w:rFonts w:ascii="Times New Roman"/>
          <w:sz w:val="20"/>
        </w:rPr>
      </w:pPr>
    </w:p>
    <w:p w14:paraId="35C2B6C4">
      <w:pPr>
        <w:pStyle w:val="9"/>
        <w:rPr>
          <w:rFonts w:ascii="Times New Roman"/>
          <w:sz w:val="20"/>
        </w:rPr>
      </w:pPr>
    </w:p>
    <w:p w14:paraId="09EA5087">
      <w:pPr>
        <w:pStyle w:val="9"/>
        <w:rPr>
          <w:rFonts w:ascii="Times New Roman"/>
          <w:sz w:val="20"/>
        </w:rPr>
      </w:pPr>
    </w:p>
    <w:p w14:paraId="7D1FFDEA">
      <w:pPr>
        <w:pStyle w:val="9"/>
        <w:rPr>
          <w:rFonts w:ascii="Times New Roman"/>
          <w:sz w:val="20"/>
        </w:rPr>
      </w:pPr>
    </w:p>
    <w:p w14:paraId="4F5D0706">
      <w:pPr>
        <w:pStyle w:val="9"/>
        <w:rPr>
          <w:rFonts w:ascii="Times New Roman"/>
          <w:sz w:val="20"/>
        </w:rPr>
      </w:pPr>
    </w:p>
    <w:p w14:paraId="3EE34553">
      <w:pPr>
        <w:pStyle w:val="9"/>
        <w:rPr>
          <w:rFonts w:ascii="Times New Roman"/>
          <w:sz w:val="20"/>
        </w:rPr>
      </w:pPr>
    </w:p>
    <w:p w14:paraId="2FE75A51">
      <w:pPr>
        <w:pStyle w:val="9"/>
        <w:rPr>
          <w:rFonts w:ascii="Times New Roman"/>
          <w:sz w:val="20"/>
        </w:rPr>
      </w:pPr>
    </w:p>
    <w:p w14:paraId="5980B51C">
      <w:pPr>
        <w:pStyle w:val="9"/>
        <w:rPr>
          <w:rFonts w:ascii="Times New Roman"/>
          <w:sz w:val="20"/>
        </w:rPr>
      </w:pPr>
    </w:p>
    <w:p w14:paraId="39B0CB4A">
      <w:pPr>
        <w:pStyle w:val="9"/>
        <w:rPr>
          <w:rFonts w:ascii="Times New Roman"/>
          <w:sz w:val="20"/>
        </w:rPr>
      </w:pPr>
    </w:p>
    <w:p w14:paraId="4E73A0BC">
      <w:pPr>
        <w:pStyle w:val="9"/>
        <w:rPr>
          <w:rFonts w:ascii="Times New Roman"/>
          <w:sz w:val="20"/>
        </w:rPr>
      </w:pPr>
    </w:p>
    <w:p w14:paraId="44EA37BE">
      <w:pPr>
        <w:pStyle w:val="9"/>
        <w:rPr>
          <w:rFonts w:ascii="Times New Roman"/>
          <w:sz w:val="20"/>
        </w:rPr>
      </w:pPr>
    </w:p>
    <w:p w14:paraId="68695FFE">
      <w:pPr>
        <w:pStyle w:val="9"/>
        <w:rPr>
          <w:rFonts w:ascii="Times New Roman"/>
          <w:sz w:val="20"/>
        </w:rPr>
      </w:pPr>
    </w:p>
    <w:p w14:paraId="2D9489A9">
      <w:pPr>
        <w:pStyle w:val="9"/>
        <w:rPr>
          <w:rFonts w:ascii="Times New Roman"/>
          <w:sz w:val="20"/>
        </w:rPr>
      </w:pPr>
    </w:p>
    <w:p w14:paraId="3671F1EF">
      <w:pPr>
        <w:pStyle w:val="9"/>
        <w:rPr>
          <w:rFonts w:ascii="Times New Roman"/>
          <w:sz w:val="20"/>
        </w:rPr>
      </w:pPr>
    </w:p>
    <w:p w14:paraId="4C5B39FC">
      <w:pPr>
        <w:pStyle w:val="9"/>
        <w:rPr>
          <w:rFonts w:ascii="Times New Roman"/>
          <w:sz w:val="20"/>
        </w:rPr>
      </w:pPr>
    </w:p>
    <w:p w14:paraId="62CC626B">
      <w:pPr>
        <w:pStyle w:val="9"/>
        <w:rPr>
          <w:rFonts w:ascii="Times New Roman"/>
          <w:sz w:val="20"/>
        </w:rPr>
      </w:pPr>
    </w:p>
    <w:p w14:paraId="55E895F6">
      <w:pPr>
        <w:pStyle w:val="9"/>
        <w:rPr>
          <w:rFonts w:ascii="Times New Roman"/>
          <w:sz w:val="20"/>
        </w:rPr>
      </w:pPr>
    </w:p>
    <w:p w14:paraId="56CDD835">
      <w:pPr>
        <w:pStyle w:val="9"/>
        <w:rPr>
          <w:rFonts w:ascii="Times New Roman"/>
          <w:sz w:val="20"/>
        </w:rPr>
      </w:pPr>
    </w:p>
    <w:p w14:paraId="31EC3AED">
      <w:pPr>
        <w:pStyle w:val="9"/>
        <w:rPr>
          <w:rFonts w:ascii="Times New Roman"/>
          <w:sz w:val="20"/>
        </w:rPr>
      </w:pPr>
    </w:p>
    <w:p w14:paraId="4E9D6F7D">
      <w:pPr>
        <w:pStyle w:val="9"/>
        <w:rPr>
          <w:rFonts w:ascii="Times New Roman"/>
          <w:sz w:val="20"/>
        </w:rPr>
      </w:pPr>
    </w:p>
    <w:p w14:paraId="08CADCA4">
      <w:pPr>
        <w:pStyle w:val="9"/>
        <w:spacing w:before="1"/>
        <w:rPr>
          <w:rFonts w:ascii="Times New Roman"/>
          <w:sz w:val="19"/>
        </w:rPr>
      </w:pPr>
    </w:p>
    <w:p w14:paraId="697F24F7">
      <w:pPr>
        <w:pStyle w:val="3"/>
        <w:tabs>
          <w:tab w:val="left" w:pos="7566"/>
        </w:tabs>
        <w:spacing w:before="70" w:line="240" w:lineRule="auto"/>
        <w:ind w:left="102"/>
        <w:rPr>
          <w:rFonts w:ascii="黑体" w:eastAsia="黑体"/>
        </w:rPr>
      </w:pPr>
      <w:bookmarkStart w:id="31" w:name="_Toc18231"/>
      <w:r>
        <w:rPr>
          <w:rFonts w:hint="eastAsia" w:ascii="宋体" w:hAnsi="宋体" w:eastAsia="宋体" w:cs="宋体"/>
          <w:b w:val="0"/>
          <w:bCs w:val="0"/>
          <w:color w:val="3C4F9B"/>
          <w:sz w:val="24"/>
          <w:szCs w:val="24"/>
        </w:rPr>
        <w:t>2024-0X</w:t>
      </w:r>
      <w:r>
        <w:rPr>
          <w:rFonts w:hint="eastAsia" w:ascii="宋体" w:hAnsi="宋体" w:eastAsia="宋体" w:cs="宋体"/>
          <w:b w:val="0"/>
          <w:bCs w:val="0"/>
          <w:color w:val="3C4F9B"/>
          <w:spacing w:val="-2"/>
          <w:sz w:val="24"/>
          <w:szCs w:val="24"/>
        </w:rPr>
        <w:t xml:space="preserve"> </w:t>
      </w:r>
      <w:r>
        <w:rPr>
          <w:rFonts w:hint="eastAsia" w:ascii="黑体" w:eastAsia="黑体"/>
          <w:b w:val="0"/>
          <w:bCs w:val="0"/>
          <w:color w:val="3C4F9B"/>
          <w:sz w:val="24"/>
          <w:szCs w:val="24"/>
        </w:rPr>
        <w:t>月</w:t>
      </w:r>
      <w:r>
        <w:rPr>
          <w:rFonts w:hint="eastAsia" w:ascii="宋体" w:hAnsi="宋体" w:eastAsia="宋体" w:cs="宋体"/>
          <w:b w:val="0"/>
          <w:bCs w:val="0"/>
          <w:color w:val="3C4F9B"/>
          <w:sz w:val="24"/>
          <w:szCs w:val="24"/>
        </w:rPr>
        <w:t xml:space="preserve">-XX </w:t>
      </w:r>
      <w:r>
        <w:rPr>
          <w:rFonts w:hint="eastAsia" w:ascii="黑体" w:eastAsia="黑体"/>
          <w:b w:val="0"/>
          <w:bCs w:val="0"/>
          <w:color w:val="3C4F9B"/>
          <w:sz w:val="24"/>
          <w:szCs w:val="24"/>
        </w:rPr>
        <w:t>日</w:t>
      </w:r>
      <w:r>
        <w:rPr>
          <w:rFonts w:hint="eastAsia" w:ascii="黑体" w:eastAsia="黑体"/>
          <w:b w:val="0"/>
          <w:bCs w:val="0"/>
          <w:color w:val="3C4F9B"/>
          <w:spacing w:val="-3"/>
          <w:sz w:val="24"/>
          <w:szCs w:val="24"/>
        </w:rPr>
        <w:t>发</w:t>
      </w:r>
      <w:r>
        <w:rPr>
          <w:rFonts w:hint="eastAsia" w:ascii="黑体" w:eastAsia="黑体"/>
          <w:b w:val="0"/>
          <w:bCs w:val="0"/>
          <w:color w:val="3C4F9B"/>
          <w:sz w:val="24"/>
          <w:szCs w:val="24"/>
        </w:rPr>
        <w:t>布</w:t>
      </w:r>
      <w:r>
        <w:rPr>
          <w:rFonts w:hint="eastAsia" w:ascii="黑体" w:eastAsia="黑体"/>
          <w:color w:val="3C4F9B"/>
        </w:rPr>
        <w:tab/>
      </w:r>
      <w:r>
        <w:rPr>
          <w:rFonts w:hint="eastAsia" w:ascii="宋体" w:hAnsi="宋体" w:eastAsia="宋体" w:cs="宋体"/>
          <w:b w:val="0"/>
          <w:bCs w:val="0"/>
          <w:color w:val="3C4F9B"/>
          <w:sz w:val="24"/>
          <w:szCs w:val="24"/>
        </w:rPr>
        <w:t>2024-0X-XX</w:t>
      </w:r>
      <w:r>
        <w:rPr>
          <w:color w:val="3C4F9B"/>
          <w:sz w:val="24"/>
          <w:szCs w:val="24"/>
        </w:rPr>
        <w:t xml:space="preserve"> </w:t>
      </w:r>
      <w:r>
        <w:rPr>
          <w:rFonts w:hint="eastAsia"/>
          <w:color w:val="3C4F9B"/>
          <w:sz w:val="24"/>
          <w:szCs w:val="24"/>
        </w:rPr>
        <w:t>实施</w:t>
      </w:r>
      <w:bookmarkEnd w:id="31"/>
    </w:p>
    <w:p w14:paraId="6D76ACE0">
      <w:pPr>
        <w:tabs>
          <w:tab w:val="left" w:pos="8259"/>
        </w:tabs>
        <w:spacing w:before="242"/>
        <w:ind w:left="102"/>
        <w:rPr>
          <w:rFonts w:ascii="黑体" w:eastAsia="黑体"/>
          <w:sz w:val="32"/>
        </w:rPr>
        <w:sectPr>
          <w:footerReference r:id="rId3" w:type="default"/>
          <w:pgSz w:w="11910" w:h="16840"/>
          <w:pgMar w:top="880" w:right="860" w:bottom="280" w:left="980" w:header="720" w:footer="720" w:gutter="0"/>
          <w:pgNumType w:fmt="upperRoman"/>
          <w:cols w:space="720" w:num="1"/>
        </w:sectPr>
      </w:pPr>
      <w:r>
        <w:rPr>
          <w:rFonts w:hint="eastAsia" w:ascii="黑体" w:eastAsia="黑体"/>
          <w:color w:val="3C4F9B"/>
          <w:sz w:val="32"/>
        </w:rPr>
        <w:t>青 岛 市 建 筑 业 协 会</w:t>
      </w:r>
      <w:r>
        <w:rPr>
          <w:rFonts w:hint="eastAsia" w:ascii="黑体" w:eastAsia="黑体"/>
          <w:color w:val="3C4F9B"/>
          <w:sz w:val="32"/>
        </w:rPr>
        <w:tab/>
      </w:r>
      <w:r>
        <w:rPr>
          <w:rFonts w:hint="eastAsia" w:ascii="黑体" w:eastAsia="黑体"/>
          <w:color w:val="3C4F9B"/>
          <w:sz w:val="32"/>
        </w:rPr>
        <w:t>发</w:t>
      </w:r>
      <w:r>
        <w:rPr>
          <w:rFonts w:hint="eastAsia" w:ascii="黑体" w:eastAsia="黑体"/>
          <w:color w:val="3C4F9B"/>
          <w:spacing w:val="1"/>
          <w:sz w:val="32"/>
        </w:rPr>
        <w:t xml:space="preserve"> </w:t>
      </w:r>
      <w:r>
        <w:rPr>
          <w:rFonts w:hint="eastAsia" w:ascii="黑体" w:eastAsia="黑体"/>
          <w:color w:val="3C4F9B"/>
          <w:sz w:val="32"/>
        </w:rPr>
        <w:t>布</w:t>
      </w:r>
    </w:p>
    <w:sdt>
      <w:sdtPr>
        <w:rPr>
          <w:rFonts w:hint="eastAsia" w:ascii="宋体" w:hAnsi="宋体" w:eastAsia="宋体" w:cs="宋体"/>
          <w:b/>
          <w:bCs/>
          <w:smallCaps/>
          <w:color w:val="auto"/>
          <w:kern w:val="2"/>
          <w:sz w:val="28"/>
          <w:szCs w:val="28"/>
          <w:lang w:val="zh-CN"/>
        </w:rPr>
        <w:id w:val="147482241"/>
        <w:docPartObj>
          <w:docPartGallery w:val="Table of Contents"/>
          <w:docPartUnique/>
        </w:docPartObj>
      </w:sdtPr>
      <w:sdtEndPr>
        <w:rPr>
          <w:rFonts w:hint="eastAsia" w:ascii="宋体" w:hAnsi="宋体" w:eastAsia="宋体" w:cs="宋体"/>
          <w:b w:val="0"/>
          <w:bCs w:val="0"/>
          <w:smallCaps/>
          <w:color w:val="auto"/>
          <w:kern w:val="2"/>
          <w:sz w:val="21"/>
          <w:szCs w:val="21"/>
          <w:lang w:val="en-US"/>
        </w:rPr>
      </w:sdtEndPr>
      <w:sdtContent>
        <w:p w14:paraId="7521356B">
          <w:pPr>
            <w:pStyle w:val="51"/>
            <w:spacing w:line="360" w:lineRule="auto"/>
            <w:ind w:left="78" w:leftChars="37"/>
            <w:jc w:val="center"/>
            <w:rPr>
              <w:rFonts w:ascii="宋体" w:hAnsi="宋体" w:eastAsia="宋体" w:cs="宋体"/>
              <w:b/>
              <w:bCs/>
              <w:color w:val="auto"/>
              <w:sz w:val="28"/>
              <w:szCs w:val="28"/>
            </w:rPr>
          </w:pPr>
          <w:bookmarkStart w:id="32" w:name="_Hlk132820944"/>
          <w:bookmarkEnd w:id="32"/>
          <w:r>
            <w:rPr>
              <w:rFonts w:hint="eastAsia" w:ascii="宋体" w:hAnsi="宋体" w:eastAsia="宋体" w:cs="宋体"/>
              <w:b/>
              <w:bCs/>
              <w:color w:val="auto"/>
              <w:sz w:val="28"/>
              <w:szCs w:val="28"/>
              <w:lang w:val="zh-CN"/>
            </w:rPr>
            <w:t>目</w:t>
          </w:r>
          <w:r>
            <w:rPr>
              <w:rFonts w:hint="eastAsia" w:ascii="宋体" w:hAnsi="宋体" w:eastAsia="宋体" w:cs="宋体"/>
              <w:b/>
              <w:bCs/>
              <w:color w:val="auto"/>
              <w:sz w:val="28"/>
              <w:szCs w:val="28"/>
            </w:rPr>
            <w:t xml:space="preserve">    录</w:t>
          </w:r>
        </w:p>
        <w:p w14:paraId="160B44C2">
          <w:pPr>
            <w:pStyle w:val="21"/>
            <w:tabs>
              <w:tab w:val="right" w:pos="4400"/>
              <w:tab w:val="right" w:leader="dot" w:pos="8306"/>
            </w:tabs>
          </w:pPr>
          <w:r>
            <w:rPr>
              <w:rFonts w:hint="eastAsia" w:ascii="宋体" w:hAnsi="宋体" w:cs="宋体"/>
              <w:szCs w:val="21"/>
            </w:rPr>
            <w:fldChar w:fldCharType="begin"/>
          </w:r>
          <w:r>
            <w:rPr>
              <w:rFonts w:hint="eastAsia" w:ascii="宋体" w:hAnsi="宋体" w:cs="宋体"/>
              <w:szCs w:val="21"/>
            </w:rPr>
            <w:instrText xml:space="preserve"> TOC \o "1-2" \h \z \u </w:instrText>
          </w:r>
          <w:r>
            <w:rPr>
              <w:rFonts w:hint="eastAsia" w:ascii="宋体" w:hAnsi="宋体" w:cs="宋体"/>
              <w:szCs w:val="21"/>
            </w:rPr>
            <w:fldChar w:fldCharType="separate"/>
          </w:r>
        </w:p>
        <w:p w14:paraId="495975C2">
          <w:pPr>
            <w:pStyle w:val="18"/>
            <w:tabs>
              <w:tab w:val="right" w:leader="dot" w:pos="8306"/>
            </w:tabs>
            <w:rPr>
              <w:rFonts w:ascii="宋体" w:hAnsi="宋体" w:cs="宋体"/>
            </w:rPr>
          </w:pPr>
          <w:r>
            <w:fldChar w:fldCharType="begin"/>
          </w:r>
          <w:r>
            <w:instrText xml:space="preserve"> HYPERLINK \l "_Toc14993" </w:instrText>
          </w:r>
          <w:r>
            <w:fldChar w:fldCharType="separate"/>
          </w:r>
          <w:r>
            <w:fldChar w:fldCharType="begin"/>
          </w:r>
          <w:r>
            <w:instrText xml:space="preserve"> HYPERLINK \l "_Toc5615" </w:instrText>
          </w:r>
          <w:r>
            <w:fldChar w:fldCharType="separate"/>
          </w:r>
          <w:r>
            <w:rPr>
              <w:rFonts w:hint="eastAsia" w:ascii="宋体" w:hAnsi="宋体" w:cs="宋体"/>
              <w:szCs w:val="28"/>
            </w:rPr>
            <w:t>前言</w:t>
          </w:r>
          <w:r>
            <w:rPr>
              <w:rFonts w:hint="eastAsia" w:ascii="宋体" w:hAnsi="宋体" w:cs="宋体"/>
            </w:rPr>
            <w:tab/>
          </w:r>
          <w:r>
            <w:rPr>
              <w:rFonts w:hint="eastAsia" w:ascii="宋体" w:hAnsi="宋体" w:cs="宋体"/>
            </w:rPr>
            <w:t xml:space="preserve"> II</w:t>
          </w:r>
          <w:r>
            <w:rPr>
              <w:rFonts w:hint="eastAsia" w:ascii="宋体" w:hAnsi="宋体" w:cs="宋体"/>
            </w:rPr>
            <w:fldChar w:fldCharType="end"/>
          </w:r>
          <w:r>
            <w:fldChar w:fldCharType="end"/>
          </w:r>
        </w:p>
        <w:p w14:paraId="08075E8F">
          <w:pPr>
            <w:pStyle w:val="18"/>
            <w:tabs>
              <w:tab w:val="right" w:leader="dot" w:pos="8306"/>
            </w:tabs>
            <w:rPr>
              <w:rFonts w:ascii="宋体" w:hAnsi="宋体" w:cs="宋体"/>
            </w:rPr>
          </w:pPr>
          <w:r>
            <w:rPr>
              <w:rFonts w:hint="eastAsia" w:ascii="宋体" w:hAnsi="宋体" w:cs="宋体"/>
              <w:szCs w:val="21"/>
            </w:rPr>
            <w:t>引言</w:t>
          </w:r>
          <w:r>
            <w:fldChar w:fldCharType="begin"/>
          </w:r>
          <w:r>
            <w:instrText xml:space="preserve"> HYPERLINK \l "_Toc19139" </w:instrText>
          </w:r>
          <w:r>
            <w:fldChar w:fldCharType="separate"/>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_Toc19139 \h </w:instrText>
          </w:r>
          <w:r>
            <w:rPr>
              <w:rFonts w:hint="eastAsia" w:ascii="宋体" w:hAnsi="宋体" w:cs="宋体"/>
            </w:rPr>
            <w:fldChar w:fldCharType="separate"/>
          </w:r>
          <w:r>
            <w:rPr>
              <w:rFonts w:hint="eastAsia" w:ascii="宋体" w:hAnsi="宋体" w:cs="宋体"/>
            </w:rPr>
            <w:t>IV</w:t>
          </w:r>
          <w:r>
            <w:rPr>
              <w:rFonts w:hint="eastAsia" w:ascii="宋体" w:hAnsi="宋体" w:cs="宋体"/>
            </w:rPr>
            <w:fldChar w:fldCharType="end"/>
          </w:r>
          <w:r>
            <w:rPr>
              <w:rFonts w:hint="eastAsia" w:ascii="宋体" w:hAnsi="宋体" w:cs="宋体"/>
            </w:rPr>
            <w:fldChar w:fldCharType="end"/>
          </w:r>
        </w:p>
        <w:p w14:paraId="1DC34794">
          <w:pPr>
            <w:pStyle w:val="18"/>
            <w:tabs>
              <w:tab w:val="right" w:leader="dot" w:pos="8306"/>
            </w:tabs>
            <w:rPr>
              <w:rFonts w:ascii="宋体" w:hAnsi="宋体" w:cs="宋体"/>
            </w:rPr>
          </w:pPr>
          <w:r>
            <w:fldChar w:fldCharType="begin"/>
          </w:r>
          <w:r>
            <w:instrText xml:space="preserve"> HYPERLINK \l "_Toc5615" </w:instrText>
          </w:r>
          <w:r>
            <w:fldChar w:fldCharType="separate"/>
          </w:r>
          <w:r>
            <w:rPr>
              <w:rFonts w:hint="eastAsia" w:ascii="宋体" w:hAnsi="宋体" w:cs="宋体"/>
              <w:szCs w:val="28"/>
            </w:rPr>
            <w:t>1 范  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_Toc5615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79DB202">
          <w:pPr>
            <w:pStyle w:val="18"/>
            <w:tabs>
              <w:tab w:val="right" w:leader="dot" w:pos="8306"/>
            </w:tabs>
            <w:rPr>
              <w:rFonts w:ascii="宋体" w:hAnsi="宋体" w:cs="宋体"/>
            </w:rPr>
          </w:pPr>
          <w:r>
            <w:fldChar w:fldCharType="begin"/>
          </w:r>
          <w:r>
            <w:instrText xml:space="preserve"> HYPERLINK \l "_Toc31780" </w:instrText>
          </w:r>
          <w:r>
            <w:fldChar w:fldCharType="separate"/>
          </w:r>
          <w:r>
            <w:rPr>
              <w:rFonts w:hint="eastAsia" w:ascii="宋体" w:hAnsi="宋体" w:cs="宋体"/>
              <w:szCs w:val="28"/>
            </w:rPr>
            <w:t>2 规范性引用文件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_Toc31780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27C2EE3D">
          <w:pPr>
            <w:pStyle w:val="18"/>
            <w:tabs>
              <w:tab w:val="right" w:leader="dot" w:pos="8306"/>
            </w:tabs>
            <w:rPr>
              <w:rFonts w:ascii="宋体" w:hAnsi="宋体" w:cs="宋体"/>
            </w:rPr>
          </w:pPr>
          <w:r>
            <w:fldChar w:fldCharType="begin"/>
          </w:r>
          <w:r>
            <w:instrText xml:space="preserve"> HYPERLINK \l "_Toc1600" </w:instrText>
          </w:r>
          <w:r>
            <w:fldChar w:fldCharType="separate"/>
          </w:r>
          <w:r>
            <w:rPr>
              <w:rFonts w:hint="eastAsia" w:ascii="宋体" w:hAnsi="宋体" w:cs="宋体"/>
              <w:szCs w:val="28"/>
            </w:rPr>
            <w:t>3 术 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7C3A6922">
          <w:pPr>
            <w:pStyle w:val="18"/>
            <w:tabs>
              <w:tab w:val="right" w:leader="dot" w:pos="8306"/>
            </w:tabs>
            <w:rPr>
              <w:rFonts w:ascii="宋体" w:hAnsi="宋体" w:cs="宋体"/>
            </w:rPr>
          </w:pPr>
          <w:r>
            <w:fldChar w:fldCharType="begin"/>
          </w:r>
          <w:r>
            <w:instrText xml:space="preserve"> HYPERLINK \l "_Toc11916" </w:instrText>
          </w:r>
          <w:r>
            <w:fldChar w:fldCharType="separate"/>
          </w:r>
          <w:r>
            <w:rPr>
              <w:rFonts w:hint="eastAsia" w:ascii="宋体" w:hAnsi="宋体" w:cs="宋体"/>
              <w:szCs w:val="28"/>
            </w:rPr>
            <w:t>4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_Toc11916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67E0286C">
          <w:pPr>
            <w:pStyle w:val="18"/>
            <w:tabs>
              <w:tab w:val="right" w:leader="dot" w:pos="8306"/>
            </w:tabs>
            <w:rPr>
              <w:rFonts w:ascii="宋体" w:hAnsi="宋体" w:cs="宋体"/>
            </w:rPr>
          </w:pPr>
          <w:r>
            <w:fldChar w:fldCharType="begin"/>
          </w:r>
          <w:r>
            <w:instrText xml:space="preserve"> HYPERLINK \l "_Toc1132" </w:instrText>
          </w:r>
          <w:r>
            <w:fldChar w:fldCharType="separate"/>
          </w:r>
          <w:r>
            <w:rPr>
              <w:rFonts w:hint="eastAsia" w:ascii="宋体" w:hAnsi="宋体" w:cs="宋体"/>
              <w:szCs w:val="28"/>
            </w:rPr>
            <w:t>5智慧化工地建设要求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_Toc1132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1D7BA6CE">
          <w:pPr>
            <w:pStyle w:val="21"/>
            <w:tabs>
              <w:tab w:val="right" w:leader="dot" w:pos="8306"/>
            </w:tabs>
            <w:rPr>
              <w:rFonts w:ascii="宋体" w:hAnsi="宋体" w:eastAsia="宋体" w:cs="宋体"/>
              <w:sz w:val="21"/>
              <w:szCs w:val="21"/>
            </w:rPr>
          </w:pPr>
          <w:r>
            <w:fldChar w:fldCharType="begin"/>
          </w:r>
          <w:r>
            <w:instrText xml:space="preserve"> HYPERLINK \l "_Toc27892" </w:instrText>
          </w:r>
          <w:r>
            <w:fldChar w:fldCharType="separate"/>
          </w:r>
          <w:r>
            <w:rPr>
              <w:rFonts w:hint="eastAsia" w:ascii="宋体" w:hAnsi="宋体" w:eastAsia="宋体" w:cs="宋体"/>
              <w:sz w:val="21"/>
              <w:szCs w:val="21"/>
            </w:rPr>
            <w:t xml:space="preserve">5.1 </w:t>
          </w:r>
          <w:r>
            <w:rPr>
              <w:rFonts w:hint="eastAsia" w:ascii="宋体" w:hAnsi="宋体" w:eastAsia="宋体" w:cs="宋体"/>
              <w:sz w:val="21"/>
              <w:szCs w:val="21"/>
              <w:lang w:val="en-US" w:eastAsia="zh-CN"/>
            </w:rPr>
            <w:t>数据综合管理类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_Toc27892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BBAF212">
          <w:pPr>
            <w:pStyle w:val="21"/>
            <w:tabs>
              <w:tab w:val="right" w:leader="dot" w:pos="8306"/>
            </w:tabs>
            <w:rPr>
              <w:rFonts w:ascii="宋体" w:hAnsi="宋体" w:eastAsia="宋体" w:cs="宋体"/>
              <w:sz w:val="21"/>
              <w:szCs w:val="21"/>
            </w:rPr>
          </w:pPr>
          <w:r>
            <w:fldChar w:fldCharType="begin"/>
          </w:r>
          <w:r>
            <w:instrText xml:space="preserve"> HYPERLINK \l "_Toc12693" </w:instrText>
          </w:r>
          <w:r>
            <w:fldChar w:fldCharType="separate"/>
          </w:r>
          <w:r>
            <w:rPr>
              <w:rFonts w:hint="eastAsia" w:ascii="宋体" w:hAnsi="宋体" w:eastAsia="宋体" w:cs="宋体"/>
              <w:sz w:val="21"/>
              <w:szCs w:val="21"/>
            </w:rPr>
            <w:t>5.2 施工安全管理</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_Toc12693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DE57016">
          <w:pPr>
            <w:pStyle w:val="21"/>
            <w:tabs>
              <w:tab w:val="right" w:leader="dot" w:pos="8306"/>
            </w:tabs>
            <w:rPr>
              <w:rFonts w:ascii="宋体" w:hAnsi="宋体" w:eastAsia="宋体" w:cs="宋体"/>
              <w:sz w:val="21"/>
              <w:szCs w:val="21"/>
            </w:rPr>
          </w:pPr>
          <w:r>
            <w:fldChar w:fldCharType="begin"/>
          </w:r>
          <w:r>
            <w:instrText xml:space="preserve"> HYPERLINK \l "_Toc29430" </w:instrText>
          </w:r>
          <w:r>
            <w:fldChar w:fldCharType="separate"/>
          </w:r>
          <w:r>
            <w:rPr>
              <w:rFonts w:hint="eastAsia" w:ascii="宋体" w:hAnsi="宋体" w:eastAsia="宋体" w:cs="宋体"/>
              <w:sz w:val="21"/>
              <w:szCs w:val="21"/>
            </w:rPr>
            <w:t>5.3 施工质量管理</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_Toc29430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609C3C7">
          <w:pPr>
            <w:pStyle w:val="21"/>
            <w:tabs>
              <w:tab w:val="right" w:leader="dot" w:pos="8306"/>
            </w:tabs>
            <w:rPr>
              <w:rFonts w:ascii="宋体" w:hAnsi="宋体" w:eastAsia="宋体" w:cs="宋体"/>
              <w:sz w:val="21"/>
              <w:szCs w:val="21"/>
            </w:rPr>
          </w:pPr>
          <w:r>
            <w:fldChar w:fldCharType="begin"/>
          </w:r>
          <w:r>
            <w:instrText xml:space="preserve"> HYPERLINK \l "_Toc9018" </w:instrText>
          </w:r>
          <w:r>
            <w:fldChar w:fldCharType="separate"/>
          </w:r>
          <w:r>
            <w:rPr>
              <w:rFonts w:hint="eastAsia" w:ascii="宋体" w:hAnsi="宋体" w:eastAsia="宋体" w:cs="宋体"/>
              <w:sz w:val="21"/>
              <w:szCs w:val="21"/>
            </w:rPr>
            <w:t>5.4 绿色文明施工</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_Toc9018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FA85D37">
          <w:pPr>
            <w:pStyle w:val="21"/>
            <w:tabs>
              <w:tab w:val="right" w:leader="dot" w:pos="8306"/>
            </w:tabs>
            <w:rPr>
              <w:rFonts w:ascii="宋体" w:hAnsi="宋体" w:eastAsia="宋体" w:cs="宋体"/>
              <w:sz w:val="21"/>
              <w:szCs w:val="21"/>
            </w:rPr>
          </w:pPr>
          <w:r>
            <w:fldChar w:fldCharType="begin"/>
          </w:r>
          <w:r>
            <w:instrText xml:space="preserve"> HYPERLINK \l "_Toc3752" </w:instrText>
          </w:r>
          <w:r>
            <w:fldChar w:fldCharType="separate"/>
          </w:r>
          <w:r>
            <w:rPr>
              <w:rFonts w:hint="eastAsia" w:ascii="宋体" w:hAnsi="宋体" w:eastAsia="宋体" w:cs="宋体"/>
              <w:sz w:val="21"/>
              <w:szCs w:val="21"/>
            </w:rPr>
            <w:t>5.5 施工综合类管理</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_Toc3752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90D0276">
          <w:pPr>
            <w:pStyle w:val="21"/>
            <w:tabs>
              <w:tab w:val="right" w:leader="dot" w:pos="8306"/>
            </w:tabs>
            <w:rPr>
              <w:rFonts w:ascii="宋体" w:hAnsi="宋体" w:eastAsia="宋体" w:cs="宋体"/>
              <w:sz w:val="21"/>
              <w:szCs w:val="21"/>
            </w:rPr>
          </w:pPr>
          <w:r>
            <w:fldChar w:fldCharType="begin"/>
          </w:r>
          <w:r>
            <w:instrText xml:space="preserve"> HYPERLINK \l "_Toc2913" </w:instrText>
          </w:r>
          <w:r>
            <w:fldChar w:fldCharType="separate"/>
          </w:r>
          <w:r>
            <w:rPr>
              <w:rFonts w:hint="eastAsia" w:ascii="宋体" w:hAnsi="宋体" w:eastAsia="宋体" w:cs="宋体"/>
              <w:sz w:val="21"/>
              <w:szCs w:val="21"/>
            </w:rPr>
            <w:t>5.6 人员</w:t>
          </w:r>
          <w:r>
            <w:rPr>
              <w:rFonts w:hint="eastAsia" w:ascii="宋体" w:hAnsi="宋体" w:eastAsia="宋体" w:cs="宋体"/>
              <w:sz w:val="21"/>
              <w:szCs w:val="21"/>
              <w:lang w:val="en-US" w:eastAsia="zh-CN"/>
            </w:rPr>
            <w:t>及班组</w:t>
          </w:r>
          <w:r>
            <w:rPr>
              <w:rFonts w:hint="eastAsia" w:ascii="宋体" w:hAnsi="宋体" w:eastAsia="宋体" w:cs="宋体"/>
              <w:sz w:val="21"/>
              <w:szCs w:val="21"/>
            </w:rPr>
            <w:t>管理</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_Toc2913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3244FE4">
          <w:pPr>
            <w:pStyle w:val="21"/>
            <w:tabs>
              <w:tab w:val="right" w:leader="dot" w:pos="8306"/>
            </w:tabs>
            <w:rPr>
              <w:rFonts w:ascii="宋体" w:hAnsi="宋体" w:eastAsia="宋体" w:cs="宋体"/>
              <w:sz w:val="21"/>
              <w:szCs w:val="21"/>
            </w:rPr>
          </w:pPr>
          <w:r>
            <w:fldChar w:fldCharType="begin"/>
          </w:r>
          <w:r>
            <w:instrText xml:space="preserve"> HYPERLINK \l "_Toc32025" </w:instrText>
          </w:r>
          <w:r>
            <w:fldChar w:fldCharType="separate"/>
          </w:r>
          <w:r>
            <w:rPr>
              <w:rFonts w:hint="eastAsia" w:ascii="宋体" w:hAnsi="宋体" w:eastAsia="宋体" w:cs="宋体"/>
              <w:sz w:val="21"/>
              <w:szCs w:val="21"/>
            </w:rPr>
            <w:t>5.7 BIM应用管理</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_Toc32025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319D4AB">
          <w:pPr>
            <w:pStyle w:val="21"/>
            <w:tabs>
              <w:tab w:val="right" w:leader="dot" w:pos="8306"/>
            </w:tabs>
            <w:rPr>
              <w:rFonts w:ascii="宋体" w:hAnsi="宋体" w:eastAsia="宋体" w:cs="宋体"/>
              <w:sz w:val="21"/>
              <w:szCs w:val="21"/>
            </w:rPr>
          </w:pPr>
          <w:r>
            <w:fldChar w:fldCharType="begin"/>
          </w:r>
          <w:r>
            <w:instrText xml:space="preserve"> HYPERLINK \l "_Toc16760" </w:instrText>
          </w:r>
          <w:r>
            <w:fldChar w:fldCharType="separate"/>
          </w:r>
          <w:r>
            <w:rPr>
              <w:rFonts w:hint="eastAsia" w:ascii="宋体" w:hAnsi="宋体" w:eastAsia="宋体" w:cs="宋体"/>
              <w:sz w:val="21"/>
              <w:szCs w:val="21"/>
            </w:rPr>
            <w:t>5.8 智能建造应用</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_Toc16760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1005ABF">
          <w:pPr>
            <w:pStyle w:val="21"/>
            <w:tabs>
              <w:tab w:val="right" w:leader="dot" w:pos="8306"/>
            </w:tabs>
          </w:pPr>
          <w:r>
            <w:fldChar w:fldCharType="begin"/>
          </w:r>
          <w:r>
            <w:instrText xml:space="preserve"> HYPERLINK \l "_Toc29748" </w:instrText>
          </w:r>
          <w:r>
            <w:fldChar w:fldCharType="separate"/>
          </w:r>
          <w:r>
            <w:rPr>
              <w:rFonts w:hint="eastAsia" w:ascii="宋体" w:hAnsi="宋体" w:eastAsia="宋体" w:cs="宋体"/>
              <w:sz w:val="21"/>
              <w:szCs w:val="21"/>
            </w:rPr>
            <w:t>5.9 数据集成应用</w:t>
          </w:r>
          <w:r>
            <w:rPr>
              <w:rFonts w:hint="eastAsia" w:ascii="宋体" w:hAnsi="宋体" w:eastAsia="宋体" w:cs="宋体"/>
              <w:sz w:val="21"/>
              <w:szCs w:val="21"/>
              <w:lang w:val="en-US" w:eastAsia="zh-CN"/>
            </w:rPr>
            <w:t>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_Toc29748 \h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5A614D3">
          <w:pPr>
            <w:autoSpaceDE w:val="0"/>
            <w:autoSpaceDN w:val="0"/>
            <w:spacing w:line="360" w:lineRule="auto"/>
            <w:rPr>
              <w:rFonts w:ascii="宋体" w:hAnsi="宋体" w:cs="宋体"/>
              <w:smallCaps/>
              <w:szCs w:val="21"/>
            </w:rPr>
          </w:pPr>
          <w:r>
            <w:rPr>
              <w:rFonts w:hint="eastAsia" w:ascii="宋体" w:hAnsi="宋体" w:cs="宋体"/>
              <w:szCs w:val="21"/>
            </w:rPr>
            <w:fldChar w:fldCharType="end"/>
          </w:r>
        </w:p>
      </w:sdtContent>
    </w:sdt>
    <w:p w14:paraId="5F79BF69">
      <w:pPr>
        <w:pStyle w:val="35"/>
        <w:rPr>
          <w:lang w:val="zh-CN"/>
        </w:rPr>
      </w:pPr>
    </w:p>
    <w:p w14:paraId="5CB11A66">
      <w:pPr>
        <w:autoSpaceDE w:val="0"/>
        <w:autoSpaceDN w:val="0"/>
        <w:spacing w:line="360" w:lineRule="auto"/>
        <w:ind w:firstLine="420" w:firstLineChars="200"/>
        <w:rPr>
          <w:rFonts w:ascii="宋体" w:hAnsi="宋体" w:cs="宋体"/>
          <w:szCs w:val="21"/>
          <w:lang w:val="zh-CN" w:bidi="zh-CN"/>
        </w:rPr>
      </w:pPr>
    </w:p>
    <w:p w14:paraId="114EB38B">
      <w:pPr>
        <w:autoSpaceDE w:val="0"/>
        <w:autoSpaceDN w:val="0"/>
        <w:spacing w:line="360" w:lineRule="auto"/>
        <w:ind w:firstLine="420" w:firstLineChars="200"/>
        <w:rPr>
          <w:rFonts w:ascii="宋体" w:hAnsi="宋体" w:cs="宋体"/>
          <w:szCs w:val="21"/>
          <w:lang w:val="zh-CN" w:bidi="zh-CN"/>
        </w:rPr>
      </w:pPr>
    </w:p>
    <w:p w14:paraId="134A91F9">
      <w:pPr>
        <w:autoSpaceDE w:val="0"/>
        <w:autoSpaceDN w:val="0"/>
        <w:spacing w:line="360" w:lineRule="auto"/>
        <w:ind w:firstLine="420" w:firstLineChars="200"/>
        <w:rPr>
          <w:rFonts w:ascii="宋体" w:hAnsi="宋体" w:cs="宋体"/>
          <w:szCs w:val="21"/>
          <w:lang w:val="zh-CN" w:bidi="zh-CN"/>
        </w:rPr>
      </w:pPr>
    </w:p>
    <w:p w14:paraId="2ECEB2F5">
      <w:pPr>
        <w:autoSpaceDE w:val="0"/>
        <w:autoSpaceDN w:val="0"/>
        <w:spacing w:line="360" w:lineRule="auto"/>
        <w:ind w:firstLine="420" w:firstLineChars="200"/>
        <w:rPr>
          <w:rFonts w:ascii="宋体" w:hAnsi="宋体" w:cs="宋体"/>
          <w:szCs w:val="21"/>
          <w:lang w:val="zh-CN" w:bidi="zh-CN"/>
        </w:rPr>
      </w:pPr>
    </w:p>
    <w:p w14:paraId="4AB42F01">
      <w:pPr>
        <w:autoSpaceDE w:val="0"/>
        <w:autoSpaceDN w:val="0"/>
        <w:spacing w:line="360" w:lineRule="auto"/>
        <w:ind w:firstLine="420" w:firstLineChars="200"/>
        <w:rPr>
          <w:rFonts w:ascii="宋体" w:hAnsi="宋体" w:cs="宋体"/>
          <w:szCs w:val="21"/>
          <w:lang w:val="zh-CN" w:bidi="zh-CN"/>
        </w:rPr>
      </w:pPr>
    </w:p>
    <w:p w14:paraId="7D7C1692">
      <w:pPr>
        <w:autoSpaceDE w:val="0"/>
        <w:autoSpaceDN w:val="0"/>
        <w:spacing w:line="360" w:lineRule="auto"/>
        <w:ind w:firstLine="420" w:firstLineChars="200"/>
        <w:rPr>
          <w:rFonts w:ascii="宋体" w:hAnsi="宋体" w:cs="宋体"/>
          <w:szCs w:val="21"/>
          <w:lang w:val="zh-CN" w:bidi="zh-CN"/>
        </w:rPr>
      </w:pPr>
    </w:p>
    <w:p w14:paraId="1C7ADDBF">
      <w:pPr>
        <w:autoSpaceDE w:val="0"/>
        <w:autoSpaceDN w:val="0"/>
        <w:spacing w:line="360" w:lineRule="auto"/>
        <w:ind w:firstLine="420" w:firstLineChars="200"/>
        <w:rPr>
          <w:rFonts w:ascii="宋体" w:hAnsi="宋体" w:cs="宋体"/>
          <w:szCs w:val="21"/>
          <w:lang w:val="zh-CN" w:bidi="zh-CN"/>
        </w:rPr>
      </w:pPr>
    </w:p>
    <w:p w14:paraId="3099A1DC">
      <w:pPr>
        <w:autoSpaceDE w:val="0"/>
        <w:autoSpaceDN w:val="0"/>
        <w:spacing w:line="360" w:lineRule="auto"/>
        <w:ind w:firstLine="420" w:firstLineChars="200"/>
        <w:rPr>
          <w:rFonts w:ascii="宋体" w:hAnsi="宋体" w:cs="宋体"/>
          <w:szCs w:val="21"/>
          <w:lang w:val="zh-CN" w:bidi="zh-CN"/>
        </w:rPr>
      </w:pPr>
    </w:p>
    <w:p w14:paraId="10E3349D">
      <w:pPr>
        <w:autoSpaceDE w:val="0"/>
        <w:autoSpaceDN w:val="0"/>
        <w:spacing w:line="360" w:lineRule="auto"/>
        <w:ind w:firstLine="420" w:firstLineChars="200"/>
        <w:rPr>
          <w:rFonts w:ascii="宋体" w:hAnsi="宋体" w:cs="宋体"/>
          <w:szCs w:val="21"/>
          <w:lang w:val="zh-CN" w:bidi="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ED132AC">
      <w:pPr>
        <w:pStyle w:val="51"/>
        <w:spacing w:line="360" w:lineRule="auto"/>
        <w:ind w:left="78" w:leftChars="37"/>
        <w:jc w:val="both"/>
        <w:rPr>
          <w:rFonts w:ascii="宋体" w:hAnsi="宋体" w:eastAsia="宋体" w:cs="宋体"/>
          <w:b/>
          <w:bCs/>
          <w:smallCaps/>
          <w:color w:val="auto"/>
          <w:kern w:val="2"/>
          <w:sz w:val="28"/>
          <w:szCs w:val="28"/>
          <w:lang w:val="zh-CN"/>
        </w:rPr>
        <w:sectPr>
          <w:footerReference r:id="rId6" w:type="first"/>
          <w:headerReference r:id="rId4" w:type="default"/>
          <w:footerReference r:id="rId5" w:type="default"/>
          <w:pgSz w:w="11906" w:h="16838"/>
          <w:pgMar w:top="1440" w:right="1800" w:bottom="1440" w:left="1800" w:header="851" w:footer="992" w:gutter="0"/>
          <w:pgNumType w:fmt="upperRoman" w:start="1"/>
          <w:cols w:space="425" w:num="1"/>
          <w:titlePg/>
          <w:docGrid w:type="lines" w:linePitch="312" w:charSpace="0"/>
        </w:sectPr>
      </w:pPr>
    </w:p>
    <w:p w14:paraId="25F1FF24">
      <w:pPr>
        <w:pStyle w:val="39"/>
        <w:spacing w:before="312" w:beforeLines="100" w:after="312" w:afterLines="100" w:line="360" w:lineRule="auto"/>
        <w:jc w:val="center"/>
        <w:outlineLvl w:val="0"/>
        <w:rPr>
          <w:rFonts w:hAnsi="黑体" w:cs="黑体"/>
          <w:color w:val="000000" w:themeColor="text1"/>
          <w:sz w:val="28"/>
          <w:szCs w:val="28"/>
          <w14:textFill>
            <w14:solidFill>
              <w14:schemeClr w14:val="tx1"/>
            </w14:solidFill>
          </w14:textFill>
        </w:rPr>
      </w:pPr>
      <w:bookmarkStart w:id="33" w:name="_Toc14993"/>
      <w:bookmarkStart w:id="34" w:name="_Toc2522"/>
      <w:bookmarkStart w:id="35" w:name="_Toc5295"/>
      <w:bookmarkStart w:id="36" w:name="_Toc29567"/>
      <w:r>
        <w:rPr>
          <w:rFonts w:hAnsi="黑体" w:cs="黑体"/>
          <w:color w:val="000000" w:themeColor="text1"/>
          <w:sz w:val="28"/>
          <w:szCs w:val="28"/>
          <w14:textFill>
            <w14:solidFill>
              <w14:schemeClr w14:val="tx1"/>
            </w14:solidFill>
          </w14:textFill>
        </w:rPr>
        <w:t>前</w:t>
      </w:r>
      <w:r>
        <w:rPr>
          <w:rFonts w:hAnsi="黑体" w:cs="黑体"/>
          <w:color w:val="000000" w:themeColor="text1"/>
          <w:sz w:val="28"/>
          <w:szCs w:val="28"/>
          <w14:textFill>
            <w14:solidFill>
              <w14:schemeClr w14:val="tx1"/>
            </w14:solidFill>
          </w14:textFill>
        </w:rPr>
        <w:tab/>
      </w:r>
      <w:r>
        <w:rPr>
          <w:rFonts w:hAnsi="黑体" w:cs="黑体"/>
          <w:color w:val="000000" w:themeColor="text1"/>
          <w:sz w:val="28"/>
          <w:szCs w:val="28"/>
          <w14:textFill>
            <w14:solidFill>
              <w14:schemeClr w14:val="tx1"/>
            </w14:solidFill>
          </w14:textFill>
        </w:rPr>
        <w:t>言</w:t>
      </w:r>
      <w:bookmarkEnd w:id="33"/>
      <w:bookmarkEnd w:id="34"/>
      <w:bookmarkEnd w:id="35"/>
      <w:bookmarkEnd w:id="36"/>
    </w:p>
    <w:p w14:paraId="4FD5C6A5">
      <w:pPr>
        <w:pStyle w:val="9"/>
        <w:autoSpaceDE w:val="0"/>
        <w:autoSpaceDN w:val="0"/>
        <w:spacing w:line="480" w:lineRule="auto"/>
        <w:ind w:firstLine="420" w:firstLineChars="200"/>
        <w:rPr>
          <w:rFonts w:ascii="黑体" w:hAnsi="黑体" w:eastAsia="黑体" w:cs="黑体"/>
          <w:color w:val="000000" w:themeColor="text1"/>
          <w14:textFill>
            <w14:solidFill>
              <w14:schemeClr w14:val="tx1"/>
            </w14:solidFill>
          </w14:textFill>
        </w:rPr>
      </w:pPr>
      <w:r>
        <w:t>本标准</w:t>
      </w:r>
      <w:r>
        <w:rPr>
          <w:rFonts w:hint="eastAsia"/>
        </w:rPr>
        <w:t>是对《智慧化工地建设标准》T/QDCIA 01-2021的修订。</w:t>
      </w:r>
    </w:p>
    <w:p w14:paraId="5732751E">
      <w:pPr>
        <w:spacing w:line="480" w:lineRule="auto"/>
        <w:ind w:firstLine="420" w:firstLineChars="200"/>
        <w:rPr>
          <w:rFonts w:ascii="宋体" w:hAnsi="宋体" w:cs="宋体"/>
          <w:szCs w:val="21"/>
        </w:rPr>
      </w:pPr>
      <w:r>
        <w:rPr>
          <w:rFonts w:hint="eastAsia" w:ascii="宋体" w:hAnsi="宋体" w:cs="宋体"/>
          <w:szCs w:val="21"/>
        </w:rPr>
        <w:t>本次标准修订，系统类别由原八大类增加至九大类，修订1项系统类别名称；</w:t>
      </w:r>
      <w:r>
        <w:rPr>
          <w:rFonts w:hint="eastAsia" w:ascii="宋体" w:hAnsi="宋体" w:cs="宋体"/>
          <w:szCs w:val="21"/>
          <w:lang w:val="en-US" w:eastAsia="zh-CN"/>
        </w:rPr>
        <w:t>应用</w:t>
      </w:r>
      <w:r>
        <w:rPr>
          <w:rFonts w:hint="eastAsia" w:ascii="宋体" w:hAnsi="宋体" w:cs="宋体"/>
          <w:szCs w:val="21"/>
        </w:rPr>
        <w:t>项由原76项增加至</w:t>
      </w:r>
      <w:r>
        <w:rPr>
          <w:rFonts w:hint="eastAsia" w:ascii="宋体" w:hAnsi="宋体" w:cs="宋体"/>
          <w:szCs w:val="21"/>
          <w:lang w:val="en-US" w:eastAsia="zh-CN"/>
        </w:rPr>
        <w:t>90</w:t>
      </w:r>
      <w:r>
        <w:rPr>
          <w:rFonts w:hint="eastAsia" w:ascii="宋体" w:hAnsi="宋体" w:cs="宋体"/>
          <w:szCs w:val="21"/>
        </w:rPr>
        <w:t>项，调整2项</w:t>
      </w:r>
      <w:r>
        <w:rPr>
          <w:rFonts w:hint="eastAsia" w:ascii="宋体" w:hAnsi="宋体" w:cs="宋体"/>
          <w:szCs w:val="21"/>
          <w:lang w:eastAsia="zh-CN"/>
        </w:rPr>
        <w:t>应用项</w:t>
      </w:r>
      <w:r>
        <w:rPr>
          <w:rFonts w:hint="eastAsia" w:ascii="宋体" w:hAnsi="宋体" w:cs="宋体"/>
          <w:szCs w:val="21"/>
        </w:rPr>
        <w:t>的系统类别，修订</w:t>
      </w:r>
      <w:r>
        <w:rPr>
          <w:rFonts w:hint="eastAsia" w:ascii="宋体" w:hAnsi="宋体" w:cs="宋体"/>
          <w:szCs w:val="21"/>
          <w:lang w:val="en-US" w:eastAsia="zh-CN"/>
        </w:rPr>
        <w:t>12</w:t>
      </w:r>
      <w:r>
        <w:rPr>
          <w:rFonts w:hint="eastAsia" w:ascii="宋体" w:hAnsi="宋体" w:cs="宋体"/>
          <w:szCs w:val="21"/>
        </w:rPr>
        <w:t>项</w:t>
      </w:r>
      <w:r>
        <w:rPr>
          <w:rFonts w:hint="eastAsia" w:ascii="宋体" w:hAnsi="宋体" w:cs="宋体"/>
          <w:szCs w:val="21"/>
          <w:lang w:eastAsia="zh-CN"/>
        </w:rPr>
        <w:t>应用项</w:t>
      </w:r>
      <w:r>
        <w:rPr>
          <w:rFonts w:hint="eastAsia" w:ascii="宋体" w:hAnsi="宋体" w:cs="宋体"/>
          <w:szCs w:val="21"/>
        </w:rPr>
        <w:t>的名称，删除</w:t>
      </w:r>
      <w:r>
        <w:rPr>
          <w:rFonts w:hint="eastAsia" w:ascii="宋体" w:hAnsi="宋体" w:cs="宋体"/>
          <w:szCs w:val="21"/>
          <w:lang w:val="en-US" w:eastAsia="zh-CN"/>
        </w:rPr>
        <w:t>6</w:t>
      </w:r>
      <w:r>
        <w:rPr>
          <w:rFonts w:hint="eastAsia" w:ascii="宋体" w:hAnsi="宋体" w:cs="宋体"/>
          <w:szCs w:val="21"/>
        </w:rPr>
        <w:t>项</w:t>
      </w:r>
      <w:r>
        <w:rPr>
          <w:rFonts w:hint="eastAsia" w:ascii="宋体" w:hAnsi="宋体" w:cs="宋体"/>
          <w:szCs w:val="21"/>
          <w:lang w:eastAsia="zh-CN"/>
        </w:rPr>
        <w:t>应用项</w:t>
      </w:r>
      <w:r>
        <w:rPr>
          <w:rFonts w:hint="eastAsia" w:ascii="宋体" w:hAnsi="宋体" w:cs="宋体"/>
          <w:szCs w:val="21"/>
        </w:rPr>
        <w:t>，新增</w:t>
      </w:r>
      <w:r>
        <w:rPr>
          <w:rFonts w:hint="eastAsia" w:ascii="宋体" w:hAnsi="宋体" w:cs="宋体"/>
          <w:szCs w:val="21"/>
          <w:lang w:val="en-US" w:eastAsia="zh-CN"/>
        </w:rPr>
        <w:t>22</w:t>
      </w:r>
      <w:r>
        <w:rPr>
          <w:rFonts w:hint="eastAsia" w:ascii="宋体" w:hAnsi="宋体" w:cs="宋体"/>
          <w:szCs w:val="21"/>
        </w:rPr>
        <w:t>项</w:t>
      </w:r>
      <w:r>
        <w:rPr>
          <w:rFonts w:hint="eastAsia" w:ascii="宋体" w:hAnsi="宋体" w:cs="宋体"/>
          <w:szCs w:val="21"/>
          <w:lang w:eastAsia="zh-CN"/>
        </w:rPr>
        <w:t>应用项</w:t>
      </w:r>
      <w:r>
        <w:rPr>
          <w:rFonts w:hint="eastAsia" w:ascii="宋体" w:hAnsi="宋体" w:cs="宋体"/>
          <w:szCs w:val="21"/>
        </w:rPr>
        <w:t>（含</w:t>
      </w:r>
      <w:r>
        <w:rPr>
          <w:rFonts w:hint="eastAsia" w:ascii="宋体" w:hAnsi="宋体" w:cs="宋体"/>
          <w:szCs w:val="21"/>
          <w:lang w:val="en-US" w:eastAsia="zh-CN"/>
        </w:rPr>
        <w:t>智能建造应用与</w:t>
      </w:r>
      <w:r>
        <w:rPr>
          <w:rFonts w:hint="eastAsia" w:ascii="宋体" w:hAnsi="宋体" w:cs="宋体"/>
          <w:szCs w:val="21"/>
        </w:rPr>
        <w:t>数据集成应用中的内容），主要修订内容如下：</w:t>
      </w:r>
    </w:p>
    <w:p w14:paraId="45C3DD2F">
      <w:pPr>
        <w:spacing w:line="480" w:lineRule="auto"/>
        <w:ind w:firstLine="420" w:firstLineChars="200"/>
        <w:rPr>
          <w:rFonts w:ascii="宋体" w:hAnsi="宋体" w:cs="宋体"/>
          <w:szCs w:val="21"/>
        </w:rPr>
      </w:pPr>
      <w:r>
        <w:rPr>
          <w:rFonts w:hint="eastAsia" w:ascii="宋体" w:hAnsi="宋体" w:cs="宋体"/>
          <w:szCs w:val="21"/>
        </w:rPr>
        <w:t>1.新增系统类别“数据集成应用</w:t>
      </w:r>
      <w:r>
        <w:rPr>
          <w:rFonts w:hint="eastAsia" w:ascii="宋体" w:hAnsi="宋体" w:cs="宋体"/>
          <w:szCs w:val="21"/>
          <w:lang w:val="en-US" w:eastAsia="zh-CN"/>
        </w:rPr>
        <w:t>类</w:t>
      </w:r>
      <w:r>
        <w:rPr>
          <w:rFonts w:hint="eastAsia" w:ascii="宋体" w:hAnsi="宋体" w:cs="宋体"/>
          <w:szCs w:val="21"/>
        </w:rPr>
        <w:t>”。</w:t>
      </w:r>
    </w:p>
    <w:p w14:paraId="06093363">
      <w:pPr>
        <w:spacing w:line="480" w:lineRule="auto"/>
        <w:ind w:firstLine="420" w:firstLineChars="200"/>
        <w:rPr>
          <w:rFonts w:ascii="宋体" w:hAnsi="宋体" w:cs="宋体"/>
          <w:szCs w:val="21"/>
        </w:rPr>
      </w:pPr>
      <w:r>
        <w:rPr>
          <w:rFonts w:hint="eastAsia" w:ascii="宋体" w:hAnsi="宋体" w:cs="宋体"/>
          <w:szCs w:val="21"/>
        </w:rPr>
        <w:t>2.系统类别“</w:t>
      </w:r>
      <w:r>
        <w:rPr>
          <w:rFonts w:hint="eastAsia" w:ascii="宋体" w:hAnsi="宋体" w:cs="宋体"/>
          <w:szCs w:val="21"/>
          <w:lang w:val="en-US" w:eastAsia="zh-CN"/>
        </w:rPr>
        <w:t>基础设施</w:t>
      </w:r>
      <w:r>
        <w:rPr>
          <w:rFonts w:hint="eastAsia" w:ascii="宋体" w:hAnsi="宋体" w:cs="宋体"/>
          <w:szCs w:val="21"/>
        </w:rPr>
        <w:t>”修订为“数据综合管理类”</w:t>
      </w:r>
      <w:r>
        <w:rPr>
          <w:rFonts w:hint="eastAsia" w:ascii="宋体" w:hAnsi="宋体" w:cs="宋体"/>
          <w:szCs w:val="21"/>
          <w:lang w:eastAsia="zh-CN"/>
        </w:rPr>
        <w:t>、</w:t>
      </w:r>
      <w:r>
        <w:rPr>
          <w:rFonts w:hint="eastAsia" w:ascii="宋体" w:hAnsi="宋体" w:cs="宋体"/>
          <w:szCs w:val="21"/>
        </w:rPr>
        <w:t>“建筑工业化</w:t>
      </w:r>
      <w:r>
        <w:rPr>
          <w:rFonts w:hint="eastAsia" w:ascii="宋体" w:hAnsi="宋体" w:cs="宋体"/>
          <w:szCs w:val="21"/>
          <w:lang w:val="en-US" w:eastAsia="zh-CN"/>
        </w:rPr>
        <w:t>类</w:t>
      </w:r>
      <w:r>
        <w:rPr>
          <w:rFonts w:hint="eastAsia" w:ascii="宋体" w:hAnsi="宋体" w:cs="宋体"/>
          <w:szCs w:val="21"/>
        </w:rPr>
        <w:t>”名称修订为“智能建造应用</w:t>
      </w:r>
      <w:r>
        <w:rPr>
          <w:rFonts w:hint="eastAsia" w:ascii="宋体" w:hAnsi="宋体" w:cs="宋体"/>
          <w:szCs w:val="21"/>
          <w:lang w:val="en-US" w:eastAsia="zh-CN"/>
        </w:rPr>
        <w:t>类</w:t>
      </w:r>
      <w:r>
        <w:rPr>
          <w:rFonts w:hint="eastAsia" w:ascii="宋体" w:hAnsi="宋体" w:cs="宋体"/>
          <w:szCs w:val="21"/>
        </w:rPr>
        <w:t>”。</w:t>
      </w:r>
      <w:r>
        <w:rPr>
          <w:rFonts w:hint="eastAsia" w:ascii="宋体" w:hAnsi="宋体" w:cs="宋体"/>
          <w:szCs w:val="21"/>
          <w:lang w:val="en-US" w:eastAsia="zh-CN"/>
        </w:rPr>
        <w:t>保留1个应用项“装配式智能建造”，</w:t>
      </w:r>
      <w:r>
        <w:rPr>
          <w:rFonts w:hint="eastAsia" w:ascii="宋体" w:hAnsi="宋体" w:cs="宋体"/>
          <w:szCs w:val="21"/>
        </w:rPr>
        <w:t>删除</w:t>
      </w:r>
      <w:r>
        <w:rPr>
          <w:rFonts w:hint="eastAsia" w:ascii="宋体" w:hAnsi="宋体" w:cs="宋体"/>
          <w:szCs w:val="21"/>
          <w:lang w:val="en-US" w:eastAsia="zh-CN"/>
        </w:rPr>
        <w:t>2个应用项</w:t>
      </w:r>
      <w:r>
        <w:rPr>
          <w:rFonts w:hint="eastAsia" w:ascii="宋体" w:hAnsi="宋体" w:cs="宋体"/>
          <w:szCs w:val="21"/>
        </w:rPr>
        <w:t>“倾斜摄影技术”“远程遥控及自动驾驶挖掘机”，新增</w:t>
      </w:r>
      <w:r>
        <w:rPr>
          <w:rFonts w:hint="eastAsia" w:ascii="宋体" w:hAnsi="宋体" w:cs="宋体"/>
          <w:szCs w:val="21"/>
          <w:lang w:val="en-US" w:eastAsia="zh-CN"/>
        </w:rPr>
        <w:t>2个应用项</w:t>
      </w:r>
      <w:r>
        <w:rPr>
          <w:rFonts w:hint="eastAsia" w:ascii="宋体" w:hAnsi="宋体" w:cs="宋体"/>
          <w:szCs w:val="21"/>
        </w:rPr>
        <w:t>“智能施工机械装备应用”“智能施工集成平台”，将“三维激光扫描机器人”“放样机器人”合并</w:t>
      </w:r>
      <w:r>
        <w:rPr>
          <w:rFonts w:hint="eastAsia" w:ascii="宋体" w:hAnsi="宋体" w:cs="宋体"/>
          <w:szCs w:val="21"/>
          <w:lang w:val="en-US" w:eastAsia="zh-CN"/>
        </w:rPr>
        <w:t>为</w:t>
      </w:r>
      <w:r>
        <w:rPr>
          <w:rFonts w:hint="eastAsia" w:ascii="宋体" w:hAnsi="宋体" w:cs="宋体"/>
          <w:szCs w:val="21"/>
        </w:rPr>
        <w:t>“智能测量设备应用”，</w:t>
      </w:r>
      <w:r>
        <w:rPr>
          <w:rFonts w:hint="eastAsia" w:ascii="宋体" w:hAnsi="宋体" w:cs="宋体"/>
          <w:szCs w:val="21"/>
          <w:lang w:val="en-US" w:eastAsia="zh-CN"/>
        </w:rPr>
        <w:t>修订1个应用项的名称</w:t>
      </w:r>
      <w:r>
        <w:rPr>
          <w:rFonts w:hint="eastAsia" w:ascii="宋体" w:hAnsi="宋体" w:cs="宋体"/>
          <w:szCs w:val="21"/>
        </w:rPr>
        <w:t>“机器人应用”修订为“施工机器人应用”。</w:t>
      </w:r>
    </w:p>
    <w:p w14:paraId="2A05123E">
      <w:pPr>
        <w:spacing w:line="480" w:lineRule="auto"/>
        <w:ind w:firstLine="420" w:firstLineChars="200"/>
        <w:rPr>
          <w:rFonts w:ascii="宋体" w:hAnsi="宋体" w:cs="宋体"/>
          <w:szCs w:val="21"/>
        </w:rPr>
      </w:pPr>
      <w:r>
        <w:rPr>
          <w:rFonts w:hint="eastAsia" w:ascii="宋体" w:hAnsi="宋体" w:cs="宋体"/>
          <w:szCs w:val="21"/>
        </w:rPr>
        <w:t>3.调整2项</w:t>
      </w:r>
      <w:r>
        <w:rPr>
          <w:rFonts w:hint="eastAsia" w:ascii="宋体" w:hAnsi="宋体" w:cs="宋体"/>
          <w:szCs w:val="21"/>
          <w:lang w:eastAsia="zh-CN"/>
        </w:rPr>
        <w:t>应用项</w:t>
      </w:r>
      <w:r>
        <w:rPr>
          <w:rFonts w:hint="eastAsia" w:ascii="宋体" w:hAnsi="宋体" w:cs="宋体"/>
          <w:szCs w:val="21"/>
        </w:rPr>
        <w:t>的系统类别。“能源管理”由施工综合管理</w:t>
      </w:r>
      <w:r>
        <w:rPr>
          <w:rFonts w:hint="eastAsia" w:ascii="宋体" w:hAnsi="宋体" w:cs="宋体"/>
          <w:szCs w:val="21"/>
          <w:lang w:val="en-US" w:eastAsia="zh-CN"/>
        </w:rPr>
        <w:t>类</w:t>
      </w:r>
      <w:r>
        <w:rPr>
          <w:rFonts w:hint="eastAsia" w:ascii="宋体" w:hAnsi="宋体" w:cs="宋体"/>
          <w:szCs w:val="21"/>
        </w:rPr>
        <w:t>调整至绿色文明施工</w:t>
      </w:r>
      <w:r>
        <w:rPr>
          <w:rFonts w:hint="eastAsia" w:ascii="宋体" w:hAnsi="宋体" w:cs="宋体"/>
          <w:szCs w:val="21"/>
          <w:lang w:val="en-US" w:eastAsia="zh-CN"/>
        </w:rPr>
        <w:t>类</w:t>
      </w:r>
      <w:r>
        <w:rPr>
          <w:rFonts w:hint="eastAsia" w:ascii="宋体" w:hAnsi="宋体" w:cs="宋体"/>
          <w:szCs w:val="21"/>
        </w:rPr>
        <w:t>，“工人岗前体检”由施工综合管理</w:t>
      </w:r>
      <w:r>
        <w:rPr>
          <w:rFonts w:hint="eastAsia" w:ascii="宋体" w:hAnsi="宋体" w:cs="宋体"/>
          <w:szCs w:val="21"/>
          <w:lang w:val="en-US" w:eastAsia="zh-CN"/>
        </w:rPr>
        <w:t>类</w:t>
      </w:r>
      <w:r>
        <w:rPr>
          <w:rFonts w:hint="eastAsia" w:ascii="宋体" w:hAnsi="宋体" w:cs="宋体"/>
          <w:szCs w:val="21"/>
        </w:rPr>
        <w:t>调整至人员及班组管理</w:t>
      </w:r>
      <w:r>
        <w:rPr>
          <w:rFonts w:hint="eastAsia" w:ascii="宋体" w:hAnsi="宋体" w:cs="宋体"/>
          <w:szCs w:val="21"/>
          <w:lang w:val="en-US" w:eastAsia="zh-CN"/>
        </w:rPr>
        <w:t>类</w:t>
      </w:r>
      <w:r>
        <w:rPr>
          <w:rFonts w:hint="eastAsia" w:ascii="宋体" w:hAnsi="宋体" w:cs="宋体"/>
          <w:szCs w:val="21"/>
        </w:rPr>
        <w:t>。</w:t>
      </w:r>
    </w:p>
    <w:p w14:paraId="1F998D9F">
      <w:pPr>
        <w:spacing w:line="480" w:lineRule="auto"/>
        <w:ind w:firstLine="420" w:firstLineChars="200"/>
        <w:rPr>
          <w:rFonts w:ascii="宋体" w:hAnsi="宋体" w:cs="宋体"/>
          <w:szCs w:val="21"/>
        </w:rPr>
      </w:pPr>
      <w:r>
        <w:rPr>
          <w:rFonts w:hint="eastAsia" w:ascii="宋体" w:hAnsi="宋体" w:cs="宋体"/>
          <w:szCs w:val="21"/>
        </w:rPr>
        <w:t>4.修订</w:t>
      </w:r>
      <w:r>
        <w:rPr>
          <w:rFonts w:hint="eastAsia" w:ascii="宋体" w:hAnsi="宋体" w:cs="宋体"/>
          <w:szCs w:val="21"/>
          <w:lang w:val="en-US" w:eastAsia="zh-CN"/>
        </w:rPr>
        <w:t>10</w:t>
      </w:r>
      <w:r>
        <w:rPr>
          <w:rFonts w:hint="eastAsia" w:ascii="宋体" w:hAnsi="宋体" w:cs="宋体"/>
          <w:szCs w:val="21"/>
        </w:rPr>
        <w:t>项</w:t>
      </w:r>
      <w:r>
        <w:rPr>
          <w:rFonts w:hint="eastAsia" w:ascii="宋体" w:hAnsi="宋体" w:cs="宋体"/>
          <w:szCs w:val="21"/>
          <w:lang w:eastAsia="zh-CN"/>
        </w:rPr>
        <w:t>应用项</w:t>
      </w:r>
      <w:r>
        <w:rPr>
          <w:rFonts w:hint="eastAsia" w:ascii="宋体" w:hAnsi="宋体" w:cs="宋体"/>
          <w:szCs w:val="21"/>
        </w:rPr>
        <w:t>的名称。“高支模监测”修订为“支撑脚手架监测”</w:t>
      </w:r>
      <w:r>
        <w:rPr>
          <w:rFonts w:hint="eastAsia" w:ascii="宋体" w:hAnsi="宋体" w:cs="宋体"/>
          <w:szCs w:val="21"/>
          <w:lang w:eastAsia="zh-CN"/>
        </w:rPr>
        <w:t>、</w:t>
      </w:r>
      <w:r>
        <w:rPr>
          <w:rFonts w:hint="eastAsia" w:ascii="宋体" w:hAnsi="宋体" w:cs="宋体"/>
          <w:szCs w:val="21"/>
        </w:rPr>
        <w:t>“标养室监测”修订为“试块智能管理”</w:t>
      </w:r>
      <w:r>
        <w:rPr>
          <w:rFonts w:hint="eastAsia" w:ascii="宋体" w:hAnsi="宋体" w:cs="宋体"/>
          <w:szCs w:val="21"/>
          <w:lang w:eastAsia="zh-CN"/>
        </w:rPr>
        <w:t>、</w:t>
      </w:r>
      <w:r>
        <w:rPr>
          <w:rFonts w:hint="eastAsia" w:ascii="宋体" w:hAnsi="宋体" w:cs="宋体"/>
          <w:szCs w:val="21"/>
        </w:rPr>
        <w:t>“自动喷淋系统”修订为“智能降尘”</w:t>
      </w:r>
      <w:r>
        <w:rPr>
          <w:rFonts w:hint="eastAsia" w:ascii="宋体" w:hAnsi="宋体" w:cs="宋体"/>
          <w:szCs w:val="21"/>
          <w:lang w:eastAsia="zh-CN"/>
        </w:rPr>
        <w:t>、</w:t>
      </w:r>
      <w:r>
        <w:rPr>
          <w:rFonts w:hint="eastAsia" w:ascii="宋体" w:hAnsi="宋体" w:cs="宋体"/>
          <w:szCs w:val="21"/>
        </w:rPr>
        <w:t>“视频会议”修订为“智能视频会议”</w:t>
      </w:r>
      <w:r>
        <w:rPr>
          <w:rFonts w:hint="eastAsia" w:ascii="宋体" w:hAnsi="宋体" w:cs="宋体"/>
          <w:szCs w:val="21"/>
          <w:lang w:eastAsia="zh-CN"/>
        </w:rPr>
        <w:t>、</w:t>
      </w:r>
      <w:r>
        <w:rPr>
          <w:rFonts w:hint="eastAsia" w:ascii="宋体" w:hAnsi="宋体" w:cs="宋体"/>
          <w:szCs w:val="21"/>
        </w:rPr>
        <w:t>“智能物料”修订为“智慧物料管理系统”</w:t>
      </w:r>
      <w:r>
        <w:rPr>
          <w:rFonts w:hint="eastAsia" w:ascii="宋体" w:hAnsi="宋体" w:cs="宋体"/>
          <w:szCs w:val="21"/>
          <w:lang w:eastAsia="zh-CN"/>
        </w:rPr>
        <w:t>、</w:t>
      </w:r>
      <w:r>
        <w:rPr>
          <w:rFonts w:hint="eastAsia" w:ascii="宋体" w:hAnsi="宋体" w:cs="宋体"/>
          <w:szCs w:val="21"/>
        </w:rPr>
        <w:t>“WIFI教育”修订为“WIFI 网络安全教育”</w:t>
      </w:r>
      <w:r>
        <w:rPr>
          <w:rFonts w:hint="eastAsia" w:ascii="宋体" w:hAnsi="宋体" w:cs="宋体"/>
          <w:szCs w:val="21"/>
          <w:lang w:eastAsia="zh-CN"/>
        </w:rPr>
        <w:t>、</w:t>
      </w:r>
      <w:r>
        <w:rPr>
          <w:rFonts w:hint="eastAsia" w:ascii="宋体" w:hAnsi="宋体" w:cs="宋体"/>
          <w:szCs w:val="21"/>
        </w:rPr>
        <w:t>“5G+AR眼镜巡检交互系统”修订为“AR 眼镜巡检交互系统”</w:t>
      </w:r>
      <w:r>
        <w:rPr>
          <w:rFonts w:hint="eastAsia" w:ascii="宋体" w:hAnsi="宋体" w:cs="宋体"/>
          <w:szCs w:val="21"/>
          <w:lang w:eastAsia="zh-CN"/>
        </w:rPr>
        <w:t>、</w:t>
      </w:r>
      <w:r>
        <w:rPr>
          <w:rFonts w:hint="eastAsia"/>
          <w:spacing w:val="-9"/>
        </w:rPr>
        <w:t>“智能进度管理”修订为“智能工期管理系统”、“AI进度识别”修订为“智能进度识别管理”</w:t>
      </w:r>
      <w:r>
        <w:rPr>
          <w:rFonts w:hint="eastAsia"/>
          <w:spacing w:val="-9"/>
          <w:lang w:eastAsia="zh-CN"/>
        </w:rPr>
        <w:t>、</w:t>
      </w:r>
      <w:r>
        <w:rPr>
          <w:rFonts w:hint="eastAsia"/>
          <w:spacing w:val="-9"/>
        </w:rPr>
        <w:t>“全景影像智能巡检”修订为“巡检影像留存管理”</w:t>
      </w:r>
      <w:r>
        <w:rPr>
          <w:rFonts w:hint="eastAsia" w:ascii="宋体" w:hAnsi="宋体" w:cs="宋体"/>
          <w:szCs w:val="21"/>
        </w:rPr>
        <w:t>。</w:t>
      </w:r>
    </w:p>
    <w:p w14:paraId="60DACFF9">
      <w:pPr>
        <w:spacing w:line="480" w:lineRule="auto"/>
        <w:ind w:firstLine="420" w:firstLineChars="200"/>
        <w:rPr>
          <w:rFonts w:hint="eastAsia" w:ascii="宋体" w:hAnsi="宋体" w:eastAsia="宋体" w:cs="宋体"/>
          <w:szCs w:val="21"/>
          <w:lang w:eastAsia="zh-CN"/>
        </w:rPr>
      </w:pPr>
      <w:r>
        <w:rPr>
          <w:rFonts w:hint="eastAsia" w:ascii="宋体" w:hAnsi="宋体" w:cs="宋体"/>
          <w:szCs w:val="21"/>
        </w:rPr>
        <w:t>5.删除4项</w:t>
      </w:r>
      <w:r>
        <w:rPr>
          <w:rFonts w:hint="eastAsia" w:ascii="宋体" w:hAnsi="宋体" w:cs="宋体"/>
          <w:szCs w:val="21"/>
          <w:lang w:eastAsia="zh-CN"/>
        </w:rPr>
        <w:t>应用项</w:t>
      </w:r>
      <w:r>
        <w:rPr>
          <w:rFonts w:hint="eastAsia" w:ascii="宋体" w:hAnsi="宋体" w:cs="宋体"/>
          <w:szCs w:val="21"/>
        </w:rPr>
        <w:t>。“测距巡到位”“5G+超高清及全景视频”“防疫管理”“BIM装配式应用”。</w:t>
      </w:r>
    </w:p>
    <w:p w14:paraId="2A9F6CCA">
      <w:pPr>
        <w:spacing w:line="480" w:lineRule="auto"/>
        <w:ind w:firstLine="420" w:firstLineChars="200"/>
        <w:rPr>
          <w:rFonts w:ascii="黑体" w:hAnsi="黑体" w:eastAsia="黑体" w:cs="黑体"/>
          <w:color w:val="000000" w:themeColor="text1"/>
          <w:szCs w:val="21"/>
          <w14:textFill>
            <w14:solidFill>
              <w14:schemeClr w14:val="tx1"/>
            </w14:solidFill>
          </w14:textFill>
        </w:rPr>
      </w:pPr>
      <w:r>
        <w:rPr>
          <w:rFonts w:hint="eastAsia" w:ascii="宋体" w:hAnsi="宋体" w:cs="宋体"/>
          <w:color w:val="auto"/>
          <w:szCs w:val="21"/>
        </w:rPr>
        <w:t xml:space="preserve"> 6.新增</w:t>
      </w:r>
      <w:r>
        <w:rPr>
          <w:rFonts w:hint="eastAsia" w:ascii="宋体" w:hAnsi="宋体" w:cs="宋体"/>
          <w:color w:val="auto"/>
          <w:szCs w:val="21"/>
          <w:lang w:val="en-US" w:eastAsia="zh-CN"/>
        </w:rPr>
        <w:t>20</w:t>
      </w:r>
      <w:r>
        <w:rPr>
          <w:rFonts w:hint="eastAsia" w:ascii="宋体" w:hAnsi="宋体" w:cs="宋体"/>
          <w:color w:val="auto"/>
          <w:szCs w:val="21"/>
        </w:rPr>
        <w:t>项</w:t>
      </w:r>
      <w:r>
        <w:rPr>
          <w:rFonts w:hint="eastAsia" w:ascii="宋体" w:hAnsi="宋体" w:cs="宋体"/>
          <w:color w:val="auto"/>
          <w:szCs w:val="21"/>
          <w:lang w:eastAsia="zh-CN"/>
        </w:rPr>
        <w:t>应用项</w:t>
      </w:r>
      <w:r>
        <w:rPr>
          <w:rFonts w:hint="eastAsia" w:ascii="宋体" w:hAnsi="宋体" w:cs="宋体"/>
          <w:color w:val="auto"/>
          <w:szCs w:val="21"/>
        </w:rPr>
        <w:t>。“质量成果管理”“人员</w:t>
      </w:r>
      <w:r>
        <w:rPr>
          <w:rFonts w:hint="eastAsia" w:ascii="宋体" w:hAnsi="宋体" w:cs="宋体"/>
          <w:color w:val="auto"/>
          <w:szCs w:val="21"/>
          <w:lang w:val="en-US" w:eastAsia="zh-CN"/>
        </w:rPr>
        <w:t>信息</w:t>
      </w:r>
      <w:r>
        <w:rPr>
          <w:rFonts w:hint="eastAsia" w:ascii="宋体" w:hAnsi="宋体" w:cs="宋体"/>
          <w:color w:val="auto"/>
          <w:szCs w:val="21"/>
        </w:rPr>
        <w:t>管理”“班组建设管理”“钢丝绳损伤监测系统”“智能安全带”“安全教育一体机”“建筑物沉降监测”“智能实测实量”“裸土监测”“AI进度识别”“全景影像智能巡检”“BIM进度模拟”“BIM逆向建模”“人员管理数据集成应用”“质量管理数据集成应用”“安全管理数据集成应用”</w:t>
      </w:r>
      <w:r>
        <w:rPr>
          <w:rFonts w:hint="eastAsia" w:ascii="宋体" w:hAnsi="宋体" w:cs="宋体"/>
          <w:color w:val="auto"/>
          <w:szCs w:val="21"/>
        </w:rPr>
        <w:t>“进度管理数据集成应用”“成本管理数据集成应用”“物资管理数据集成应用”“智慧工地数据安全</w:t>
      </w:r>
      <w:r>
        <w:rPr>
          <w:rFonts w:hint="eastAsia" w:ascii="宋体" w:hAnsi="宋体" w:cs="宋体"/>
          <w:color w:val="auto"/>
          <w:szCs w:val="21"/>
          <w:lang w:val="en-US" w:eastAsia="zh-CN"/>
        </w:rPr>
        <w:t>管理</w:t>
      </w:r>
      <w:r>
        <w:rPr>
          <w:rFonts w:hint="eastAsia" w:ascii="宋体" w:hAnsi="宋体" w:cs="宋体"/>
          <w:color w:val="auto"/>
          <w:szCs w:val="21"/>
        </w:rPr>
        <w:t>”。</w:t>
      </w:r>
    </w:p>
    <w:p w14:paraId="547D707B">
      <w:pPr>
        <w:pStyle w:val="9"/>
        <w:autoSpaceDE w:val="0"/>
        <w:autoSpaceDN w:val="0"/>
        <w:spacing w:line="480" w:lineRule="auto"/>
        <w:ind w:left="100" w:right="219" w:firstLine="420"/>
      </w:pPr>
      <w:r>
        <w:t>本标准由</w:t>
      </w:r>
      <w:r>
        <w:rPr>
          <w:rFonts w:hint="eastAsia"/>
        </w:rPr>
        <w:t>青岛市建筑业</w:t>
      </w:r>
      <w:r>
        <w:t>协会提出并归口。本标准的某些内容可能涉及专利，本标准的发布机构不承担识别专利的责任。</w:t>
      </w:r>
    </w:p>
    <w:p w14:paraId="44AB5C45">
      <w:pPr>
        <w:pStyle w:val="9"/>
        <w:autoSpaceDE w:val="0"/>
        <w:autoSpaceDN w:val="0"/>
        <w:spacing w:line="480" w:lineRule="auto"/>
        <w:ind w:firstLine="420" w:firstLineChars="200"/>
      </w:pPr>
      <w:r>
        <w:rPr>
          <w:rFonts w:ascii="宋体" w:hAnsi="宋体" w:cs="宋体"/>
          <w:color w:val="000000"/>
        </w:rPr>
        <w:t>本标准指导单位：青岛市住房和城乡建设局</w:t>
      </w:r>
    </w:p>
    <w:p w14:paraId="61F11C03">
      <w:pPr>
        <w:pStyle w:val="9"/>
        <w:autoSpaceDE w:val="0"/>
        <w:autoSpaceDN w:val="0"/>
        <w:spacing w:line="480" w:lineRule="auto"/>
        <w:ind w:firstLine="420" w:firstLineChars="200"/>
      </w:pPr>
      <w:r>
        <w:t>本标准主要起草单位：</w:t>
      </w:r>
      <w:r>
        <w:rPr>
          <w:rFonts w:hint="eastAsia"/>
        </w:rPr>
        <w:t>青岛市建筑工程管理服务中心、青岛市建筑业</w:t>
      </w:r>
      <w:r>
        <w:t>协会</w:t>
      </w:r>
    </w:p>
    <w:p w14:paraId="16F39984">
      <w:pPr>
        <w:pStyle w:val="9"/>
        <w:autoSpaceDE w:val="0"/>
        <w:autoSpaceDN w:val="0"/>
        <w:spacing w:line="480" w:lineRule="auto"/>
        <w:ind w:right="114" w:firstLine="420" w:firstLineChars="200"/>
        <w:rPr>
          <w:spacing w:val="-9"/>
        </w:rPr>
      </w:pPr>
      <w:r>
        <w:t>本标准起草单位：</w:t>
      </w:r>
    </w:p>
    <w:p w14:paraId="7102A89B">
      <w:pPr>
        <w:pStyle w:val="9"/>
        <w:autoSpaceDE w:val="0"/>
        <w:autoSpaceDN w:val="0"/>
        <w:spacing w:line="480" w:lineRule="auto"/>
        <w:ind w:firstLine="384" w:firstLineChars="200"/>
        <w:rPr>
          <w:spacing w:val="-9"/>
        </w:rPr>
      </w:pPr>
      <w:r>
        <w:rPr>
          <w:rFonts w:hint="eastAsia"/>
          <w:spacing w:val="-9"/>
        </w:rPr>
        <w:t>本标准主要起草人：</w:t>
      </w:r>
    </w:p>
    <w:p w14:paraId="08C2E13C">
      <w:pPr>
        <w:pStyle w:val="9"/>
        <w:autoSpaceDE w:val="0"/>
        <w:autoSpaceDN w:val="0"/>
        <w:spacing w:line="480" w:lineRule="auto"/>
        <w:ind w:firstLine="384" w:firstLineChars="200"/>
      </w:pPr>
      <w:r>
        <w:rPr>
          <w:rFonts w:hint="eastAsia"/>
          <w:spacing w:val="-9"/>
        </w:rPr>
        <w:t>本标准参编人员：</w:t>
      </w:r>
    </w:p>
    <w:p w14:paraId="1F78B99E">
      <w:pPr>
        <w:pStyle w:val="9"/>
        <w:autoSpaceDE w:val="0"/>
        <w:autoSpaceDN w:val="0"/>
        <w:spacing w:line="480" w:lineRule="auto"/>
        <w:ind w:firstLine="384" w:firstLineChars="200"/>
        <w:rPr>
          <w:spacing w:val="-9"/>
        </w:rPr>
      </w:pPr>
      <w:r>
        <w:rPr>
          <w:rFonts w:hint="eastAsia"/>
          <w:spacing w:val="-9"/>
        </w:rPr>
        <w:t>本标准主要审查单位：</w:t>
      </w:r>
    </w:p>
    <w:p w14:paraId="45CF0E7B">
      <w:pPr>
        <w:pStyle w:val="9"/>
        <w:autoSpaceDE w:val="0"/>
        <w:autoSpaceDN w:val="0"/>
        <w:spacing w:line="480" w:lineRule="auto"/>
        <w:ind w:firstLine="384" w:firstLineChars="200"/>
        <w:rPr>
          <w:rFonts w:hint="eastAsia" w:ascii="黑体" w:hAnsi="黑体" w:eastAsia="宋体" w:cs="黑体"/>
          <w:color w:val="000000" w:themeColor="text1"/>
          <w:szCs w:val="21"/>
          <w:lang w:eastAsia="zh-CN"/>
          <w14:textFill>
            <w14:solidFill>
              <w14:schemeClr w14:val="tx1"/>
            </w14:solidFill>
          </w14:textFill>
        </w:rPr>
        <w:sectPr>
          <w:footerReference r:id="rId8" w:type="first"/>
          <w:footerReference r:id="rId7" w:type="default"/>
          <w:pgSz w:w="11906" w:h="16838"/>
          <w:pgMar w:top="1440" w:right="1800" w:bottom="1440" w:left="1800" w:header="851" w:footer="992" w:gutter="0"/>
          <w:pgNumType w:fmt="upperRoman" w:start="2"/>
          <w:cols w:space="425" w:num="1"/>
          <w:docGrid w:type="lines" w:linePitch="312" w:charSpace="0"/>
        </w:sectPr>
      </w:pPr>
      <w:r>
        <w:rPr>
          <w:rFonts w:hint="eastAsia"/>
          <w:spacing w:val="-9"/>
        </w:rPr>
        <w:t>本标准主要审查人</w:t>
      </w:r>
      <w:r>
        <w:rPr>
          <w:rFonts w:hint="eastAsia"/>
          <w:spacing w:val="-9"/>
          <w:lang w:eastAsia="zh-CN"/>
        </w:rPr>
        <w:t>：</w:t>
      </w:r>
    </w:p>
    <w:p w14:paraId="59229ECF">
      <w:pPr>
        <w:pStyle w:val="39"/>
        <w:spacing w:before="312" w:beforeLines="100" w:after="312" w:afterLines="100" w:line="360" w:lineRule="auto"/>
        <w:jc w:val="center"/>
        <w:outlineLvl w:val="0"/>
        <w:rPr>
          <w:rFonts w:hAnsi="黑体" w:cs="黑体"/>
          <w:color w:val="000000" w:themeColor="text1"/>
          <w:sz w:val="28"/>
          <w:szCs w:val="28"/>
          <w14:textFill>
            <w14:solidFill>
              <w14:schemeClr w14:val="tx1"/>
            </w14:solidFill>
          </w14:textFill>
        </w:rPr>
      </w:pPr>
      <w:bookmarkStart w:id="37" w:name="_Toc3055"/>
      <w:bookmarkStart w:id="38" w:name="_Toc3021"/>
      <w:bookmarkStart w:id="39" w:name="_Toc6689"/>
      <w:bookmarkStart w:id="40" w:name="_Toc5456"/>
      <w:r>
        <w:rPr>
          <w:rFonts w:hAnsi="黑体" w:cs="黑体"/>
          <w:color w:val="000000" w:themeColor="text1"/>
          <w:sz w:val="28"/>
          <w:szCs w:val="28"/>
          <w14:textFill>
            <w14:solidFill>
              <w14:schemeClr w14:val="tx1"/>
            </w14:solidFill>
          </w14:textFill>
        </w:rPr>
        <w:t>引</w:t>
      </w:r>
      <w:r>
        <w:rPr>
          <w:rFonts w:hAnsi="黑体" w:cs="黑体"/>
          <w:color w:val="000000" w:themeColor="text1"/>
          <w:sz w:val="28"/>
          <w:szCs w:val="28"/>
          <w14:textFill>
            <w14:solidFill>
              <w14:schemeClr w14:val="tx1"/>
            </w14:solidFill>
          </w14:textFill>
        </w:rPr>
        <w:tab/>
      </w:r>
      <w:r>
        <w:rPr>
          <w:rFonts w:hAnsi="黑体" w:cs="黑体"/>
          <w:color w:val="000000" w:themeColor="text1"/>
          <w:sz w:val="28"/>
          <w:szCs w:val="28"/>
          <w14:textFill>
            <w14:solidFill>
              <w14:schemeClr w14:val="tx1"/>
            </w14:solidFill>
          </w14:textFill>
        </w:rPr>
        <w:t>言</w:t>
      </w:r>
      <w:bookmarkEnd w:id="37"/>
      <w:bookmarkEnd w:id="38"/>
      <w:bookmarkEnd w:id="39"/>
      <w:bookmarkEnd w:id="40"/>
    </w:p>
    <w:p w14:paraId="2033439E">
      <w:pPr>
        <w:pStyle w:val="40"/>
        <w:spacing w:before="312" w:beforeLines="100" w:after="312" w:afterLines="100"/>
        <w:ind w:firstLine="420"/>
        <w:outlineLvl w:val="0"/>
        <w:rPr>
          <w:rFonts w:cs="宋体"/>
          <w:color w:val="000000" w:themeColor="text1"/>
          <w:szCs w:val="21"/>
          <w14:textFill>
            <w14:solidFill>
              <w14:schemeClr w14:val="tx1"/>
            </w14:solidFill>
          </w14:textFill>
        </w:rPr>
      </w:pPr>
      <w:bookmarkStart w:id="41" w:name="_Toc11753"/>
      <w:bookmarkStart w:id="42" w:name="_Toc19139"/>
      <w:bookmarkStart w:id="43" w:name="_Toc5204"/>
      <w:r>
        <w:rPr>
          <w:rFonts w:hint="eastAsia" w:cs="宋体"/>
          <w:color w:val="000000" w:themeColor="text1"/>
          <w:szCs w:val="21"/>
          <w14:textFill>
            <w14:solidFill>
              <w14:schemeClr w14:val="tx1"/>
            </w14:solidFill>
          </w14:textFill>
        </w:rPr>
        <w:t>为推动“数字青岛”建设，全面推行“互联网+管理”模式，以信息化手段加强房屋建筑工程质量安全管理，大力促进信息共享和业务协同，提高行业监管效率、管理水平和决策能力，助推我市建筑业高质量发展，落实《青岛市建筑工程智慧化工地建设实施方案（试行）》《青岛市建筑业高质量发展行动方案》，指导房屋建筑工程智慧化工地建设，制定本标准。</w:t>
      </w:r>
      <w:bookmarkEnd w:id="41"/>
      <w:bookmarkEnd w:id="42"/>
      <w:bookmarkEnd w:id="43"/>
    </w:p>
    <w:p w14:paraId="322C7584">
      <w:pPr>
        <w:pStyle w:val="40"/>
        <w:spacing w:line="480" w:lineRule="auto"/>
        <w:ind w:firstLine="0" w:firstLineChars="0"/>
        <w:outlineLvl w:val="1"/>
        <w:rPr>
          <w:rFonts w:ascii="黑体" w:hAnsi="黑体" w:eastAsia="黑体" w:cs="黑体"/>
          <w:color w:val="000000" w:themeColor="text1"/>
          <w:szCs w:val="21"/>
          <w14:textFill>
            <w14:solidFill>
              <w14:schemeClr w14:val="tx1"/>
            </w14:solidFill>
          </w14:textFill>
        </w:rPr>
        <w:sectPr>
          <w:footerReference r:id="rId9" w:type="default"/>
          <w:pgSz w:w="11906" w:h="16838"/>
          <w:pgMar w:top="1440" w:right="1800" w:bottom="1440" w:left="1800" w:header="851" w:footer="992" w:gutter="0"/>
          <w:pgNumType w:fmt="upperRoman"/>
          <w:cols w:space="425" w:num="1"/>
          <w:docGrid w:type="lines" w:linePitch="312" w:charSpace="0"/>
        </w:sectPr>
      </w:pPr>
    </w:p>
    <w:p w14:paraId="7D4A47CD">
      <w:pPr>
        <w:pStyle w:val="39"/>
        <w:spacing w:before="312" w:beforeLines="100" w:after="312" w:afterLines="100" w:line="360" w:lineRule="auto"/>
        <w:jc w:val="center"/>
        <w:outlineLvl w:val="0"/>
        <w:rPr>
          <w:rFonts w:hAnsi="黑体" w:cs="黑体"/>
          <w:color w:val="000000" w:themeColor="text1"/>
          <w:sz w:val="28"/>
          <w:szCs w:val="28"/>
          <w14:textFill>
            <w14:solidFill>
              <w14:schemeClr w14:val="tx1"/>
            </w14:solidFill>
          </w14:textFill>
        </w:rPr>
      </w:pPr>
      <w:bookmarkStart w:id="44" w:name="_Toc150548745"/>
      <w:bookmarkStart w:id="45" w:name="_Toc153316350"/>
      <w:bookmarkStart w:id="46" w:name="_Toc11640"/>
      <w:bookmarkStart w:id="47" w:name="_Toc11431"/>
      <w:bookmarkStart w:id="48" w:name="_Toc5615"/>
      <w:r>
        <w:rPr>
          <w:rFonts w:hAnsi="黑体" w:cs="黑体"/>
          <w:color w:val="000000" w:themeColor="text1"/>
          <w:sz w:val="28"/>
          <w:szCs w:val="28"/>
          <w14:textFill>
            <w14:solidFill>
              <w14:schemeClr w14:val="tx1"/>
            </w14:solidFill>
          </w14:textFill>
        </w:rPr>
        <w:t xml:space="preserve">1 </w:t>
      </w:r>
      <w:r>
        <w:rPr>
          <w:rFonts w:hint="eastAsia" w:hAnsi="黑体" w:cs="黑体"/>
          <w:color w:val="000000" w:themeColor="text1"/>
          <w:sz w:val="28"/>
          <w:szCs w:val="28"/>
          <w14:textFill>
            <w14:solidFill>
              <w14:schemeClr w14:val="tx1"/>
            </w14:solidFill>
          </w14:textFill>
        </w:rPr>
        <w:t>范</w:t>
      </w:r>
      <w:r>
        <w:rPr>
          <w:rFonts w:hAnsi="黑体" w:cs="黑体"/>
          <w:color w:val="000000" w:themeColor="text1"/>
          <w:sz w:val="28"/>
          <w:szCs w:val="28"/>
          <w14:textFill>
            <w14:solidFill>
              <w14:schemeClr w14:val="tx1"/>
            </w14:solidFill>
          </w14:textFill>
        </w:rPr>
        <w:t xml:space="preserve">  </w:t>
      </w:r>
      <w:bookmarkEnd w:id="44"/>
      <w:bookmarkEnd w:id="45"/>
      <w:bookmarkEnd w:id="46"/>
      <w:bookmarkEnd w:id="47"/>
      <w:r>
        <w:rPr>
          <w:rFonts w:hint="eastAsia" w:hAnsi="黑体" w:cs="黑体"/>
          <w:color w:val="000000" w:themeColor="text1"/>
          <w:sz w:val="28"/>
          <w:szCs w:val="28"/>
          <w14:textFill>
            <w14:solidFill>
              <w14:schemeClr w14:val="tx1"/>
            </w14:solidFill>
          </w14:textFill>
        </w:rPr>
        <w:t>围</w:t>
      </w:r>
      <w:bookmarkEnd w:id="48"/>
    </w:p>
    <w:p w14:paraId="25B170F2">
      <w:pPr>
        <w:pStyle w:val="40"/>
        <w:ind w:firstLine="0" w:firstLineChars="0"/>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 xml:space="preserve">1.0.1 </w:t>
      </w:r>
      <w:r>
        <w:rPr>
          <w:rFonts w:hint="eastAsia" w:cs="宋体"/>
          <w:color w:val="000000" w:themeColor="text1"/>
          <w:szCs w:val="21"/>
          <w14:textFill>
            <w14:solidFill>
              <w14:schemeClr w14:val="tx1"/>
            </w14:solidFill>
          </w14:textFill>
        </w:rPr>
        <w:t>本标准适用于青岛市房屋建筑工程智慧化工地的建设工作。</w:t>
      </w:r>
    </w:p>
    <w:p w14:paraId="2346B5EE">
      <w:pPr>
        <w:pStyle w:val="40"/>
        <w:ind w:firstLine="0" w:firstLineChars="0"/>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 xml:space="preserve">1.0.2 </w:t>
      </w:r>
      <w:r>
        <w:rPr>
          <w:rFonts w:hint="eastAsia" w:cs="宋体"/>
          <w:color w:val="000000" w:themeColor="text1"/>
          <w:szCs w:val="21"/>
          <w14:textFill>
            <w14:solidFill>
              <w14:schemeClr w14:val="tx1"/>
            </w14:solidFill>
          </w14:textFill>
        </w:rPr>
        <w:t>青岛市智慧化工地建设除应符合本标准外，尚应符合国家、省及青岛市现行有关标准的规定。</w:t>
      </w:r>
    </w:p>
    <w:p w14:paraId="6ABE1FE9">
      <w:pPr>
        <w:pStyle w:val="39"/>
        <w:spacing w:before="312" w:beforeLines="100" w:after="312" w:afterLines="100" w:line="360" w:lineRule="auto"/>
        <w:jc w:val="center"/>
        <w:outlineLvl w:val="0"/>
        <w:rPr>
          <w:rFonts w:cs="宋体"/>
          <w:color w:val="000000" w:themeColor="text1"/>
          <w:szCs w:val="21"/>
          <w14:textFill>
            <w14:solidFill>
              <w14:schemeClr w14:val="tx1"/>
            </w14:solidFill>
          </w14:textFill>
        </w:rPr>
      </w:pPr>
      <w:bookmarkStart w:id="49" w:name="_Toc243993521"/>
      <w:bookmarkStart w:id="50" w:name="_Toc3492"/>
      <w:bookmarkStart w:id="51" w:name="_Toc344382020"/>
      <w:bookmarkStart w:id="52" w:name="_Toc467499960"/>
      <w:bookmarkStart w:id="53" w:name="_Toc22093"/>
      <w:bookmarkStart w:id="54" w:name="_Toc97551723"/>
      <w:bookmarkStart w:id="55" w:name="_Toc26337"/>
      <w:bookmarkStart w:id="56" w:name="_Toc15579"/>
      <w:bookmarkStart w:id="57" w:name="_Toc153316351"/>
      <w:bookmarkStart w:id="58" w:name="_Toc5328"/>
      <w:bookmarkStart w:id="59" w:name="_Toc148815487"/>
      <w:bookmarkStart w:id="60" w:name="_Toc150548746"/>
      <w:bookmarkStart w:id="61" w:name="_Toc99316034"/>
      <w:bookmarkStart w:id="62" w:name="_Toc7091"/>
      <w:bookmarkStart w:id="63" w:name="_Toc148815136"/>
      <w:bookmarkStart w:id="64" w:name="_Toc3931"/>
      <w:bookmarkStart w:id="65" w:name="_Toc20922"/>
      <w:bookmarkStart w:id="66" w:name="_Toc8902"/>
      <w:bookmarkStart w:id="67" w:name="_Toc28139"/>
      <w:bookmarkStart w:id="68" w:name="_Toc7640"/>
      <w:bookmarkStart w:id="69" w:name="_Ref245201918"/>
      <w:bookmarkStart w:id="70" w:name="_Toc31780"/>
      <w:r>
        <w:rPr>
          <w:rFonts w:hAnsi="黑体" w:cs="黑体"/>
          <w:color w:val="000000" w:themeColor="text1"/>
          <w:sz w:val="28"/>
          <w:szCs w:val="28"/>
          <w14:textFill>
            <w14:solidFill>
              <w14:schemeClr w14:val="tx1"/>
            </w14:solidFill>
          </w14:textFill>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hAnsi="黑体" w:cs="黑体"/>
          <w:color w:val="000000" w:themeColor="text1"/>
          <w:sz w:val="28"/>
          <w:szCs w:val="28"/>
          <w14:textFill>
            <w14:solidFill>
              <w14:schemeClr w14:val="tx1"/>
            </w14:solidFill>
          </w14:textFill>
        </w:rPr>
        <w:t>规范性引用文件</w:t>
      </w:r>
      <w:bookmarkEnd w:id="70"/>
    </w:p>
    <w:p w14:paraId="1ADB0D2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下列文件对于本文件的应用是必不可少的。凡是注日期的引用文件，仅所注日期的版本适应于本文件。凡是不注日期的引用文件，其最新版本（包括所有修改单）适用于本文件。</w:t>
      </w:r>
    </w:p>
    <w:p w14:paraId="609567E3">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GB／T 31167-2014 信息安全技术云计算服务安全指南</w:t>
      </w:r>
    </w:p>
    <w:p w14:paraId="5EBF68EC">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GB／T 36951-2018 信息安全技术物联网感知终端应用安全技术要求</w:t>
      </w:r>
    </w:p>
    <w:p w14:paraId="7029106E">
      <w:pPr>
        <w:pStyle w:val="40"/>
        <w:ind w:firstLine="0" w:firstLineChars="0"/>
        <w:jc w:val="left"/>
        <w:outlineLvl w:val="1"/>
        <w:rPr>
          <w:rFonts w:ascii="Times New Roman" w:hAnsi="Times New Roman"/>
          <w:color w:val="000000" w:themeColor="text1"/>
          <w:szCs w:val="21"/>
          <w14:textFill>
            <w14:solidFill>
              <w14:schemeClr w14:val="tx1"/>
            </w14:solidFill>
          </w14:textFill>
        </w:rPr>
      </w:pPr>
      <w:bookmarkStart w:id="71" w:name="_Toc177737577"/>
      <w:bookmarkStart w:id="72" w:name="_Toc5708"/>
      <w:r>
        <w:rPr>
          <w:rFonts w:ascii="Times New Roman" w:hAnsi="Times New Roman"/>
          <w:color w:val="000000" w:themeColor="text1"/>
          <w:szCs w:val="21"/>
          <w14:textFill>
            <w14:solidFill>
              <w14:schemeClr w14:val="tx1"/>
            </w14:solidFill>
          </w14:textFill>
        </w:rPr>
        <w:t>GB／T 25069-2010 信息安全技术术语</w:t>
      </w:r>
      <w:bookmarkEnd w:id="71"/>
      <w:bookmarkEnd w:id="72"/>
    </w:p>
    <w:p w14:paraId="72683EF9">
      <w:pPr>
        <w:pStyle w:val="9"/>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DB37／T 5287-2024  智慧工地建设技术标准</w:t>
      </w:r>
    </w:p>
    <w:p w14:paraId="2444CFC5">
      <w:pPr>
        <w:pStyle w:val="39"/>
        <w:spacing w:before="312" w:beforeLines="100" w:after="312" w:afterLines="100" w:line="360" w:lineRule="auto"/>
        <w:jc w:val="center"/>
        <w:outlineLvl w:val="0"/>
        <w:rPr>
          <w:rFonts w:hAnsi="黑体" w:cs="黑体"/>
          <w:color w:val="000000" w:themeColor="text1"/>
          <w:sz w:val="28"/>
          <w:szCs w:val="28"/>
          <w14:textFill>
            <w14:solidFill>
              <w14:schemeClr w14:val="tx1"/>
            </w14:solidFill>
          </w14:textFill>
        </w:rPr>
      </w:pPr>
      <w:bookmarkStart w:id="73" w:name="_Toc1607"/>
      <w:bookmarkStart w:id="74" w:name="_Toc25242"/>
      <w:bookmarkStart w:id="75" w:name="_Toc153316352"/>
      <w:bookmarkStart w:id="76" w:name="_Toc1600"/>
      <w:r>
        <w:rPr>
          <w:rFonts w:hAnsi="黑体" w:cs="黑体"/>
          <w:color w:val="000000" w:themeColor="text1"/>
          <w:sz w:val="28"/>
          <w:szCs w:val="28"/>
          <w14:textFill>
            <w14:solidFill>
              <w14:schemeClr w14:val="tx1"/>
            </w14:solidFill>
          </w14:textFill>
        </w:rPr>
        <w:t xml:space="preserve">3 </w:t>
      </w:r>
      <w:bookmarkEnd w:id="73"/>
      <w:bookmarkEnd w:id="74"/>
      <w:bookmarkEnd w:id="75"/>
      <w:r>
        <w:rPr>
          <w:rFonts w:hint="eastAsia" w:hAnsi="黑体" w:cs="黑体"/>
          <w:color w:val="000000" w:themeColor="text1"/>
          <w:sz w:val="28"/>
          <w:szCs w:val="28"/>
          <w14:textFill>
            <w14:solidFill>
              <w14:schemeClr w14:val="tx1"/>
            </w14:solidFill>
          </w14:textFill>
        </w:rPr>
        <w:t>术 语</w:t>
      </w:r>
      <w:bookmarkEnd w:id="76"/>
    </w:p>
    <w:p w14:paraId="7EE36F09">
      <w:pPr>
        <w:pStyle w:val="88"/>
        <w:rPr>
          <w:rFonts w:ascii="Times New Roman"/>
        </w:rPr>
      </w:pPr>
      <w:r>
        <w:rPr>
          <w:rFonts w:hint="eastAsia"/>
        </w:rPr>
        <w:t xml:space="preserve">3.0.1 智慧化工地 </w:t>
      </w:r>
      <w:r>
        <w:rPr>
          <w:rFonts w:ascii="Times New Roman"/>
        </w:rPr>
        <w:t>Smart construction site</w:t>
      </w:r>
    </w:p>
    <w:p w14:paraId="7627AE7E">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应用物联网、云计算、大数据等现代信息技术，对人员、设备、材料、环境、安全、质量进行智能辅助管控，实现风险智慧预控、作业生产协同、科学决策以及人和物感知等功能的工地。</w:t>
      </w:r>
    </w:p>
    <w:p w14:paraId="6B5E0C49">
      <w:pPr>
        <w:pStyle w:val="88"/>
      </w:pPr>
      <w:r>
        <w:rPr>
          <w:rFonts w:hint="eastAsia"/>
        </w:rPr>
        <w:t>3.0.2 智慧化工地基础设施</w:t>
      </w:r>
      <w:r>
        <w:rPr>
          <w:rFonts w:ascii="Times New Roman"/>
        </w:rPr>
        <w:t xml:space="preserve"> </w:t>
      </w:r>
      <w:r>
        <w:rPr>
          <w:rFonts w:hint="eastAsia" w:ascii="Times New Roman"/>
        </w:rPr>
        <w:t>I</w:t>
      </w:r>
      <w:r>
        <w:rPr>
          <w:rFonts w:ascii="Times New Roman"/>
        </w:rPr>
        <w:t>nfrastructure of smart construction site</w:t>
      </w:r>
    </w:p>
    <w:p w14:paraId="120A37BF">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用于智慧化工地收集、传输、处理、显示各类信息的软硬件设施，包括各类传感器、自动识别装置、网关、路由器、服务器、显示屏等设备及软件技术平台相关集成设施。</w:t>
      </w:r>
    </w:p>
    <w:p w14:paraId="2D094B2B">
      <w:pPr>
        <w:pStyle w:val="88"/>
      </w:pPr>
      <w:r>
        <w:rPr>
          <w:rFonts w:hint="eastAsia"/>
        </w:rPr>
        <w:t>3.0.3 项目级智慧化管理平</w:t>
      </w:r>
      <w:r>
        <w:rPr>
          <w:rFonts w:hint="eastAsia" w:ascii="Times New Roman"/>
        </w:rPr>
        <w:t xml:space="preserve">台 </w:t>
      </w:r>
      <w:r>
        <w:rPr>
          <w:rFonts w:ascii="Times New Roman"/>
        </w:rPr>
        <w:t>Intelligent project management platform</w:t>
      </w:r>
    </w:p>
    <w:p w14:paraId="58956D9D">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级智慧化管理平台(简称项目平台),是应用于智慧化工地施工现场的信息管理系统，实现对工地现场人员、物资、设备、技术、环境等要素全面采集、监测、管理，数据共享和协同运作，并与企业级平台、行业级平台对接。</w:t>
      </w:r>
    </w:p>
    <w:p w14:paraId="779AF454">
      <w:pPr>
        <w:pStyle w:val="88"/>
      </w:pPr>
      <w:r>
        <w:rPr>
          <w:rFonts w:hint="eastAsia"/>
        </w:rPr>
        <w:t>3.0.4 企业级智慧化管理平</w:t>
      </w:r>
      <w:r>
        <w:rPr>
          <w:rFonts w:hint="eastAsia" w:ascii="Times New Roman"/>
        </w:rPr>
        <w:t xml:space="preserve">台 </w:t>
      </w:r>
      <w:r>
        <w:rPr>
          <w:rFonts w:ascii="Times New Roman"/>
        </w:rPr>
        <w:t xml:space="preserve">Intelligent </w:t>
      </w:r>
      <w:r>
        <w:rPr>
          <w:rFonts w:hint="eastAsia" w:ascii="Times New Roman"/>
        </w:rPr>
        <w:t>e</w:t>
      </w:r>
      <w:r>
        <w:rPr>
          <w:rFonts w:ascii="Times New Roman"/>
        </w:rPr>
        <w:t>nterprise management platform</w:t>
      </w:r>
    </w:p>
    <w:p w14:paraId="0E9C219F">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企业级智慧化管理平台（简称企业平台），是各参建主体或相关机构对智慧化工地建设过程进行管理的系统，满足企业或机构对智慧化工地管理的要求，具备企业对智慧化工地各要素统计分析、预警、处理及管理功能。</w:t>
      </w:r>
    </w:p>
    <w:p w14:paraId="16C281D8">
      <w:pPr>
        <w:pStyle w:val="88"/>
      </w:pPr>
      <w:r>
        <w:rPr>
          <w:rFonts w:hint="eastAsia"/>
        </w:rPr>
        <w:t>3.0.5 行业级智慧化服务</w:t>
      </w:r>
      <w:r>
        <w:rPr>
          <w:rFonts w:hint="eastAsia" w:ascii="Times New Roman"/>
        </w:rPr>
        <w:t xml:space="preserve">平台 </w:t>
      </w:r>
      <w:r>
        <w:rPr>
          <w:rFonts w:ascii="Times New Roman"/>
        </w:rPr>
        <w:t xml:space="preserve">Intelligent </w:t>
      </w:r>
      <w:r>
        <w:rPr>
          <w:rFonts w:hint="eastAsia" w:ascii="Times New Roman"/>
        </w:rPr>
        <w:t>c</w:t>
      </w:r>
      <w:r>
        <w:rPr>
          <w:rFonts w:ascii="Times New Roman"/>
        </w:rPr>
        <w:t>onstruction industry platform</w:t>
      </w:r>
    </w:p>
    <w:p w14:paraId="3EFBEDF9">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行业级智慧化服务平台（简称行业平台），是行业协会对智慧化工地建设过程进行监管的系统，满足行业协会对项目建造过程中的相关数据动态获取和掌握，整合住建行业信息化资源，实现智慧化工地全过程管控，提高行业监管效率、监管水平和决策能力。</w:t>
      </w:r>
    </w:p>
    <w:p w14:paraId="61E52D44">
      <w:pPr>
        <w:pStyle w:val="88"/>
      </w:pPr>
      <w:r>
        <w:rPr>
          <w:rFonts w:hint="eastAsia"/>
        </w:rPr>
        <w:t>3.0.6 数字化资料</w:t>
      </w:r>
      <w:r>
        <w:rPr>
          <w:rFonts w:hint="eastAsia" w:ascii="Times New Roman"/>
        </w:rPr>
        <w:t xml:space="preserve"> </w:t>
      </w:r>
      <w:r>
        <w:rPr>
          <w:rFonts w:ascii="Times New Roman"/>
        </w:rPr>
        <w:t xml:space="preserve">Digital </w:t>
      </w:r>
      <w:r>
        <w:rPr>
          <w:rFonts w:hint="eastAsia" w:ascii="Times New Roman"/>
        </w:rPr>
        <w:t>d</w:t>
      </w:r>
      <w:r>
        <w:rPr>
          <w:rFonts w:ascii="Times New Roman"/>
        </w:rPr>
        <w:t>ata</w:t>
      </w:r>
    </w:p>
    <w:p w14:paraId="3006724E">
      <w:pPr>
        <w:pStyle w:val="40"/>
        <w:ind w:firstLine="420"/>
        <w:rPr>
          <w:rFonts w:cs="宋体"/>
          <w:color w:val="000000" w:themeColor="text1"/>
          <w:szCs w:val="21"/>
          <w14:textFill>
            <w14:solidFill>
              <w14:schemeClr w14:val="tx1"/>
            </w14:solidFill>
          </w14:textFill>
        </w:rPr>
      </w:pPr>
      <w:bookmarkStart w:id="77" w:name="_Hlk150528993"/>
      <w:r>
        <w:rPr>
          <w:rFonts w:hint="eastAsia" w:cs="宋体"/>
          <w:color w:val="000000" w:themeColor="text1"/>
          <w:szCs w:val="21"/>
          <w14:textFill>
            <w14:solidFill>
              <w14:schemeClr w14:val="tx1"/>
            </w14:solidFill>
          </w14:textFill>
        </w:rPr>
        <w:t>应用施工现场项目管理、企业管理、行业平台系统，收集、记录或形成建筑工程人员、质量、安全管理等资料，通过信息化、数据化等技术手段形成可储存、复制、共享的数字化文件。</w:t>
      </w:r>
    </w:p>
    <w:bookmarkEnd w:id="77"/>
    <w:p w14:paraId="025BE3B2">
      <w:pPr>
        <w:pStyle w:val="88"/>
      </w:pPr>
      <w:r>
        <w:rPr>
          <w:rFonts w:hint="eastAsia"/>
        </w:rPr>
        <w:t>3.0.7 电子签章/签名</w:t>
      </w:r>
      <w:r>
        <w:rPr>
          <w:rFonts w:hint="eastAsia" w:ascii="Times New Roman"/>
        </w:rPr>
        <w:t xml:space="preserve"> </w:t>
      </w:r>
      <w:r>
        <w:rPr>
          <w:rFonts w:ascii="Times New Roman"/>
        </w:rPr>
        <w:t xml:space="preserve">Electronic </w:t>
      </w:r>
      <w:r>
        <w:rPr>
          <w:rFonts w:hint="eastAsia" w:ascii="Times New Roman"/>
        </w:rPr>
        <w:t>s</w:t>
      </w:r>
      <w:r>
        <w:rPr>
          <w:rFonts w:ascii="Times New Roman"/>
        </w:rPr>
        <w:t xml:space="preserve">eal/Electronic </w:t>
      </w:r>
      <w:r>
        <w:rPr>
          <w:rFonts w:hint="eastAsia" w:ascii="Times New Roman"/>
        </w:rPr>
        <w:t>s</w:t>
      </w:r>
      <w:r>
        <w:rPr>
          <w:rFonts w:ascii="Times New Roman"/>
        </w:rPr>
        <w:t>ignature</w:t>
      </w:r>
    </w:p>
    <w:p w14:paraId="1A3AD079">
      <w:pPr>
        <w:pStyle w:val="40"/>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通过将第三方认证机构、电子签约平台认定的数字认证、信息化公章、签名图片与被签章对象绑定，利用图像处理技术将电子签章/签名操作转化为与纸质文件盖章操作相同的可视效果，同时利用电子签名技术保障电子信息的真实性、完整性以及签名人的不可否认性。</w:t>
      </w:r>
    </w:p>
    <w:p w14:paraId="5D5C7D43">
      <w:pPr>
        <w:pStyle w:val="39"/>
        <w:spacing w:before="312" w:beforeLines="100" w:after="312" w:afterLines="100" w:line="360" w:lineRule="auto"/>
        <w:jc w:val="center"/>
        <w:outlineLvl w:val="0"/>
        <w:rPr>
          <w:rFonts w:hAnsi="黑体" w:cs="黑体"/>
          <w:color w:val="000000" w:themeColor="text1"/>
          <w:sz w:val="28"/>
          <w:szCs w:val="28"/>
          <w14:textFill>
            <w14:solidFill>
              <w14:schemeClr w14:val="tx1"/>
            </w14:solidFill>
          </w14:textFill>
        </w:rPr>
      </w:pPr>
      <w:bookmarkStart w:id="78" w:name="_Toc11916"/>
      <w:r>
        <w:rPr>
          <w:rFonts w:hAnsi="黑体" w:cs="黑体"/>
          <w:color w:val="000000" w:themeColor="text1"/>
          <w:sz w:val="28"/>
          <w:szCs w:val="28"/>
          <w14:textFill>
            <w14:solidFill>
              <w14:schemeClr w14:val="tx1"/>
            </w14:solidFill>
          </w14:textFill>
        </w:rPr>
        <w:t xml:space="preserve">4 </w:t>
      </w:r>
      <w:r>
        <w:rPr>
          <w:rFonts w:hint="eastAsia" w:hAnsi="黑体" w:cs="黑体"/>
          <w:color w:val="000000" w:themeColor="text1"/>
          <w:sz w:val="28"/>
          <w:szCs w:val="28"/>
          <w14:textFill>
            <w14:solidFill>
              <w14:schemeClr w14:val="tx1"/>
            </w14:solidFill>
          </w14:textFill>
        </w:rPr>
        <w:t>基本规定</w:t>
      </w:r>
      <w:bookmarkEnd w:id="78"/>
    </w:p>
    <w:p w14:paraId="403E52E0">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 xml:space="preserve">.1 </w:t>
      </w:r>
      <w:r>
        <w:rPr>
          <w:rFonts w:hint="eastAsia" w:cs="宋体"/>
          <w:color w:val="000000" w:themeColor="text1"/>
          <w:szCs w:val="21"/>
          <w14:textFill>
            <w14:solidFill>
              <w14:schemeClr w14:val="tx1"/>
            </w14:solidFill>
          </w14:textFill>
        </w:rPr>
        <w:t>房屋建筑工程施工应采用智慧化的方式进行管控，建立智慧化工地管理系统，搭建项目平台，编制智慧化工地建设方案。建设单位应按合同约定及时足额支付智慧化工地专项建设价款，监督智慧化工地建设，确保智慧化工地按时建立并正常运转发挥实效。</w:t>
      </w:r>
    </w:p>
    <w:p w14:paraId="31FE258E">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 xml:space="preserve">.2 </w:t>
      </w:r>
      <w:r>
        <w:rPr>
          <w:rFonts w:hint="eastAsia" w:cs="宋体"/>
          <w:color w:val="000000" w:themeColor="text1"/>
          <w:szCs w:val="21"/>
          <w14:textFill>
            <w14:solidFill>
              <w14:schemeClr w14:val="tx1"/>
            </w14:solidFill>
          </w14:textFill>
        </w:rPr>
        <w:t>房屋建筑工程智慧化工地建设施工总承包单位应搭建专业实施管理团队，组织协调参建各方人员开展智慧化工地建设。</w:t>
      </w:r>
    </w:p>
    <w:p w14:paraId="7DF38BAE">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 xml:space="preserve">.3 </w:t>
      </w:r>
      <w:r>
        <w:rPr>
          <w:rFonts w:hint="eastAsia" w:cs="宋体"/>
          <w:color w:val="000000" w:themeColor="text1"/>
          <w:szCs w:val="21"/>
          <w14:textFill>
            <w14:solidFill>
              <w14:schemeClr w14:val="tx1"/>
            </w14:solidFill>
          </w14:textFill>
        </w:rPr>
        <w:t>施工总承包单位按照合同约定的智慧化工地建设等级编制专项建设方案并组织实施。专项建设方案应包括工程概况、工程特点及重难点、智慧化工地建设内容、实施计划与措施、运行维护保障措施、预期成果、专项教育培训等内容。</w:t>
      </w:r>
    </w:p>
    <w:p w14:paraId="03427CEA">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 xml:space="preserve">.4 </w:t>
      </w:r>
      <w:r>
        <w:rPr>
          <w:rFonts w:hint="eastAsia" w:cs="宋体"/>
          <w:color w:val="000000" w:themeColor="text1"/>
          <w:szCs w:val="21"/>
          <w14:textFill>
            <w14:solidFill>
              <w14:schemeClr w14:val="tx1"/>
            </w14:solidFill>
          </w14:textFill>
        </w:rPr>
        <w:t>监理单位应督促施工总承包单位按时完成智慧化工地建设并切实应用，并将建设、运行情况及时上报建设单位。</w:t>
      </w:r>
    </w:p>
    <w:p w14:paraId="28BEC34C">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 xml:space="preserve">.5 </w:t>
      </w:r>
      <w:r>
        <w:rPr>
          <w:rFonts w:hint="eastAsia" w:cs="宋体"/>
          <w:color w:val="000000" w:themeColor="text1"/>
          <w:szCs w:val="21"/>
          <w14:textFill>
            <w14:solidFill>
              <w14:schemeClr w14:val="tx1"/>
            </w14:solidFill>
          </w14:textFill>
        </w:rPr>
        <w:t>第三方检测、监测机构、预拌混凝土、装配式构配件生产等企业应逐步实现智慧化管控。</w:t>
      </w:r>
    </w:p>
    <w:p w14:paraId="39570D7C">
      <w:pPr>
        <w:pStyle w:val="40"/>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4.0.6 系统厂商应提供必要的培训服务。</w:t>
      </w:r>
    </w:p>
    <w:p w14:paraId="5BAD147A">
      <w:pPr>
        <w:pStyle w:val="40"/>
        <w:ind w:firstLine="0" w:firstLineChars="0"/>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 xml:space="preserve">4.0.7 </w:t>
      </w:r>
      <w:r>
        <w:rPr>
          <w:rFonts w:hint="eastAsia"/>
          <w:color w:val="000000" w:themeColor="text1"/>
          <w14:textFill>
            <w14:solidFill>
              <w14:schemeClr w14:val="tx1"/>
            </w14:solidFill>
          </w14:textFill>
        </w:rPr>
        <w:t>智慧化工地建设时应对数据计算能力、通信能力、存储能力进行分析评估，满足各项功能应用和功能扩展的需求，宜采用云计算、云存储的方式实现信息数据的集中计算和存储，也可采用云存储、本地存储相结合的方式进行。</w:t>
      </w:r>
    </w:p>
    <w:p w14:paraId="19F782A2">
      <w:pPr>
        <w:pStyle w:val="4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4.0.8 行业主管部门建设行业平台，收集、处理、查询、统计、分析有关公司、人员、项目、行业等方面的信息。</w:t>
      </w:r>
    </w:p>
    <w:p w14:paraId="475B536C">
      <w:pPr>
        <w:pStyle w:val="39"/>
        <w:spacing w:before="312" w:beforeLines="100" w:after="312" w:afterLines="100" w:line="360" w:lineRule="auto"/>
        <w:jc w:val="center"/>
        <w:outlineLvl w:val="0"/>
      </w:pPr>
      <w:bookmarkStart w:id="79" w:name="_Toc1132"/>
      <w:r>
        <w:rPr>
          <w:rFonts w:hint="eastAsia" w:hAnsi="黑体" w:cs="黑体"/>
          <w:color w:val="000000" w:themeColor="text1"/>
          <w:sz w:val="28"/>
          <w:szCs w:val="28"/>
          <w14:textFill>
            <w14:solidFill>
              <w14:schemeClr w14:val="tx1"/>
            </w14:solidFill>
          </w14:textFill>
        </w:rPr>
        <w:t>5智慧化工地建设要求</w:t>
      </w:r>
      <w:bookmarkEnd w:id="79"/>
    </w:p>
    <w:p w14:paraId="159C3685">
      <w:pPr>
        <w:pStyle w:val="40"/>
        <w:ind w:firstLine="0" w:firstLineChars="0"/>
        <w:jc w:val="center"/>
        <w:outlineLvl w:val="1"/>
        <w:rPr>
          <w:rFonts w:hint="default" w:ascii="黑体" w:hAnsi="黑体" w:eastAsia="黑体" w:cs="黑体"/>
          <w:color w:val="000000" w:themeColor="text1"/>
          <w:szCs w:val="21"/>
          <w:lang w:val="en-US" w:eastAsia="zh-CN"/>
          <w14:textFill>
            <w14:solidFill>
              <w14:schemeClr w14:val="tx1"/>
            </w14:solidFill>
          </w14:textFill>
        </w:rPr>
      </w:pPr>
      <w:bookmarkStart w:id="80" w:name="_Toc9937"/>
      <w:bookmarkStart w:id="81" w:name="_Toc153316359"/>
      <w:bookmarkStart w:id="82" w:name="_Toc7273"/>
      <w:bookmarkStart w:id="83" w:name="_Toc27892"/>
      <w:r>
        <w:rPr>
          <w:rFonts w:ascii="黑体" w:hAnsi="黑体" w:eastAsia="黑体" w:cs="黑体"/>
          <w:color w:val="000000" w:themeColor="text1"/>
          <w:szCs w:val="21"/>
          <w14:textFill>
            <w14:solidFill>
              <w14:schemeClr w14:val="tx1"/>
            </w14:solidFill>
          </w14:textFill>
        </w:rPr>
        <w:t xml:space="preserve">5.1 </w:t>
      </w:r>
      <w:bookmarkEnd w:id="80"/>
      <w:bookmarkEnd w:id="81"/>
      <w:bookmarkEnd w:id="82"/>
      <w:bookmarkEnd w:id="83"/>
      <w:r>
        <w:rPr>
          <w:rFonts w:hint="eastAsia" w:ascii="黑体" w:hAnsi="黑体" w:eastAsia="黑体" w:cs="黑体"/>
          <w:color w:val="000000" w:themeColor="text1"/>
          <w:szCs w:val="21"/>
          <w:lang w:val="en-US" w:eastAsia="zh-CN"/>
          <w14:textFill>
            <w14:solidFill>
              <w14:schemeClr w14:val="tx1"/>
            </w14:solidFill>
          </w14:textFill>
        </w:rPr>
        <w:t>数据综合管理类</w:t>
      </w:r>
    </w:p>
    <w:p w14:paraId="24E44F74">
      <w:pPr>
        <w:pStyle w:val="88"/>
      </w:pPr>
      <w:r>
        <w:t>5</w:t>
      </w:r>
      <w:r>
        <w:rPr>
          <w:rFonts w:hint="eastAsia"/>
        </w:rPr>
        <w:t>.1.1 基础设施</w:t>
      </w:r>
    </w:p>
    <w:p w14:paraId="65C8E56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智慧化工地现场网络接入带宽应满足相关通信设备、应用终端网络带宽要求，网络接入带宽宜在300Mbps以上或专线接入100Mbps以上。</w:t>
      </w:r>
    </w:p>
    <w:p w14:paraId="6714F56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通信网络应覆盖工地主要区域，包括工地办公、宿舍、施工等区域。</w:t>
      </w:r>
    </w:p>
    <w:p w14:paraId="2A178CF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工地现场相关信息处理、存储、传输设备应有防干扰措施，并与强电分离。</w:t>
      </w:r>
    </w:p>
    <w:p w14:paraId="6486E48C">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智慧化工地基础设施应符合现行国家标准《云计算数据中心基本要求》（GB/T 34982</w:t>
      </w:r>
      <w:r>
        <w:rPr>
          <w:rFonts w:hAnsi="宋体" w:cs="宋体"/>
          <w:color w:val="000000" w:themeColor="text1"/>
          <w:kern w:val="2"/>
          <w:szCs w:val="21"/>
          <w14:textFill>
            <w14:solidFill>
              <w14:schemeClr w14:val="tx1"/>
            </w14:solidFill>
          </w14:textFill>
        </w:rPr>
        <w:t>）</w:t>
      </w:r>
      <w:r>
        <w:rPr>
          <w:rFonts w:hint="eastAsia" w:hAnsi="宋体" w:cs="宋体"/>
          <w:color w:val="000000" w:themeColor="text1"/>
          <w:kern w:val="2"/>
          <w:szCs w:val="21"/>
          <w14:textFill>
            <w14:solidFill>
              <w14:schemeClr w14:val="tx1"/>
            </w14:solidFill>
          </w14:textFill>
        </w:rPr>
        <w:t xml:space="preserve"> 和行业标准《建筑工程施工现场监管信息系统技术标准》(JGJ/T 434</w:t>
      </w:r>
      <w:r>
        <w:rPr>
          <w:rFonts w:hAnsi="宋体" w:cs="宋体"/>
          <w:color w:val="000000" w:themeColor="text1"/>
          <w:kern w:val="2"/>
          <w:szCs w:val="21"/>
          <w14:textFill>
            <w14:solidFill>
              <w14:schemeClr w14:val="tx1"/>
            </w14:solidFill>
          </w14:textFill>
        </w:rPr>
        <w:t>)</w:t>
      </w:r>
      <w:r>
        <w:rPr>
          <w:rFonts w:hint="eastAsia" w:hAnsi="宋体" w:cs="宋体"/>
          <w:color w:val="000000" w:themeColor="text1"/>
          <w:kern w:val="2"/>
          <w:szCs w:val="21"/>
          <w14:textFill>
            <w14:solidFill>
              <w14:schemeClr w14:val="tx1"/>
            </w14:solidFill>
          </w14:textFill>
        </w:rPr>
        <w:t>的规定。</w:t>
      </w:r>
    </w:p>
    <w:p w14:paraId="25FAB763">
      <w:pPr>
        <w:pStyle w:val="88"/>
      </w:pPr>
      <w:r>
        <w:t>5</w:t>
      </w:r>
      <w:r>
        <w:rPr>
          <w:rFonts w:hint="eastAsia"/>
        </w:rPr>
        <w:t>.1.2 功能要求</w:t>
      </w:r>
    </w:p>
    <w:p w14:paraId="1E5A135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智慧化工地所采用软件系统、硬件设施设备的运行维护应满足以下要求：</w:t>
      </w:r>
    </w:p>
    <w:p w14:paraId="00A53AF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（1）信息系统运行维护应符合《信息技术服务运行维护》(GB/T28827-2019)系列标准相关规定。</w:t>
      </w:r>
    </w:p>
    <w:p w14:paraId="5DD4C6D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（2）所采用的信息化系统、硬件设施设备，应有相关的维护操作手册。</w:t>
      </w:r>
    </w:p>
    <w:p w14:paraId="46DCF22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（3）各种设施设备应通过信息化手段，实现各系统之间的集成应用，并保证数据信息的传输稳定性、一致性及完整性。</w:t>
      </w:r>
    </w:p>
    <w:p w14:paraId="2542DBD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智慧化工地应采用质量、安全技术资料数字化技术，并应用电子签章、数字签名技术，实现技术资料电子化。</w:t>
      </w:r>
    </w:p>
    <w:p w14:paraId="10F8DC3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auto"/>
          <w:kern w:val="2"/>
          <w:szCs w:val="21"/>
        </w:rPr>
        <w:t>3 项目平台应集成施工安全管理、施工质量管理、绿色文明施工、施工综合管理、人员</w:t>
      </w:r>
      <w:r>
        <w:rPr>
          <w:rFonts w:hint="eastAsia" w:hAnsi="宋体" w:cs="宋体"/>
          <w:color w:val="auto"/>
          <w:kern w:val="2"/>
          <w:szCs w:val="21"/>
          <w:lang w:val="en-US" w:eastAsia="zh-CN"/>
        </w:rPr>
        <w:t>及班组</w:t>
      </w:r>
      <w:r>
        <w:rPr>
          <w:rFonts w:hint="eastAsia" w:hAnsi="宋体" w:cs="宋体"/>
          <w:color w:val="auto"/>
          <w:kern w:val="2"/>
          <w:szCs w:val="21"/>
        </w:rPr>
        <w:t>管理、BIM应用管理、智能建造应用、数据集成应用等子系统，</w:t>
      </w:r>
      <w:r>
        <w:rPr>
          <w:rFonts w:hint="eastAsia" w:hAnsi="宋体" w:cs="宋体"/>
          <w:color w:val="000000" w:themeColor="text1"/>
          <w:kern w:val="2"/>
          <w:szCs w:val="21"/>
          <w14:textFill>
            <w14:solidFill>
              <w14:schemeClr w14:val="tx1"/>
            </w14:solidFill>
          </w14:textFill>
        </w:rPr>
        <w:t>各子系统应由相应的软硬件组成。各子系统应具备实时采集、传输、显示、存储、统计分析、提示或报警等功能，应具备本地或远程数据库、API 接口，支持互联网接入。宜与企业、行业平台自动同步数据。</w:t>
      </w:r>
    </w:p>
    <w:p w14:paraId="3624EF4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项目平台应实现数据决策分析：</w:t>
      </w:r>
    </w:p>
    <w:p w14:paraId="41FCC46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（1）</w:t>
      </w:r>
      <w:r>
        <w:rPr>
          <w:rFonts w:hAnsi="宋体" w:cs="宋体"/>
          <w:color w:val="000000" w:themeColor="text1"/>
          <w:kern w:val="2"/>
          <w:szCs w:val="21"/>
          <w14:textFill>
            <w14:solidFill>
              <w14:schemeClr w14:val="tx1"/>
            </w14:solidFill>
          </w14:textFill>
        </w:rPr>
        <w:t>应实现对建筑工程施工现场生产和管理信息的统计与分析</w:t>
      </w:r>
      <w:r>
        <w:rPr>
          <w:rFonts w:hint="eastAsia" w:hAnsi="宋体" w:cs="宋体"/>
          <w:color w:val="000000" w:themeColor="text1"/>
          <w:kern w:val="2"/>
          <w:szCs w:val="21"/>
          <w14:textFill>
            <w14:solidFill>
              <w14:schemeClr w14:val="tx1"/>
            </w14:solidFill>
          </w14:textFill>
        </w:rPr>
        <w:t>；</w:t>
      </w:r>
      <w:r>
        <w:rPr>
          <w:rFonts w:hAnsi="宋体" w:cs="宋体"/>
          <w:color w:val="000000" w:themeColor="text1"/>
          <w:kern w:val="2"/>
          <w:szCs w:val="21"/>
          <w14:textFill>
            <w14:solidFill>
              <w14:schemeClr w14:val="tx1"/>
            </w14:solidFill>
          </w14:textFill>
        </w:rPr>
        <w:t>宜实现基础数据统计、现场资源应用情况分析、专题监管信息统计分析和报警信息统计分析</w:t>
      </w:r>
      <w:r>
        <w:rPr>
          <w:rFonts w:hint="eastAsia" w:hAnsi="宋体" w:cs="宋体"/>
          <w:color w:val="000000" w:themeColor="text1"/>
          <w:kern w:val="2"/>
          <w:szCs w:val="21"/>
          <w14:textFill>
            <w14:solidFill>
              <w14:schemeClr w14:val="tx1"/>
            </w14:solidFill>
          </w14:textFill>
        </w:rPr>
        <w:t>；</w:t>
      </w:r>
    </w:p>
    <w:p w14:paraId="190740B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2</w:t>
      </w:r>
      <w:r>
        <w:rPr>
          <w:rFonts w:hint="eastAsia"/>
        </w:rPr>
        <w:t>）</w:t>
      </w:r>
      <w:r>
        <w:rPr>
          <w:rFonts w:hAnsi="宋体" w:cs="宋体"/>
          <w:color w:val="000000" w:themeColor="text1"/>
          <w:kern w:val="2"/>
          <w:szCs w:val="21"/>
          <w14:textFill>
            <w14:solidFill>
              <w14:schemeClr w14:val="tx1"/>
            </w14:solidFill>
          </w14:textFill>
        </w:rPr>
        <w:t>应实现灵活配置，通过图表智能布局，搭建多角度，覆盖多种管理和业务场景决策分析可视化看板，满足不同组织及岗位需求，提升业务管理人员工作效率</w:t>
      </w:r>
      <w:r>
        <w:rPr>
          <w:rFonts w:hint="eastAsia"/>
        </w:rPr>
        <w:t>；</w:t>
      </w:r>
    </w:p>
    <w:p w14:paraId="464A872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3</w:t>
      </w:r>
      <w:r>
        <w:rPr>
          <w:rFonts w:hint="eastAsia"/>
        </w:rPr>
        <w:t>）</w:t>
      </w:r>
      <w:r>
        <w:rPr>
          <w:rFonts w:hAnsi="宋体" w:cs="宋体"/>
          <w:color w:val="000000" w:themeColor="text1"/>
          <w:kern w:val="2"/>
          <w:szCs w:val="21"/>
          <w14:textFill>
            <w14:solidFill>
              <w14:schemeClr w14:val="tx1"/>
            </w14:solidFill>
          </w14:textFill>
        </w:rPr>
        <w:t>应实现数据穿透式管理，实现业务组件数据下钻，一键追溯跳转对应业务原始数据，增强数据连贯性</w:t>
      </w:r>
      <w:r>
        <w:rPr>
          <w:rFonts w:hint="eastAsia"/>
        </w:rPr>
        <w:t>；</w:t>
      </w:r>
    </w:p>
    <w:p w14:paraId="342F680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4</w:t>
      </w:r>
      <w:r>
        <w:rPr>
          <w:rFonts w:hint="eastAsia"/>
        </w:rPr>
        <w:t>）</w:t>
      </w:r>
      <w:r>
        <w:rPr>
          <w:rFonts w:hAnsi="宋体" w:cs="宋体"/>
          <w:color w:val="000000" w:themeColor="text1"/>
          <w:kern w:val="2"/>
          <w:szCs w:val="21"/>
          <w14:textFill>
            <w14:solidFill>
              <w14:schemeClr w14:val="tx1"/>
            </w14:solidFill>
          </w14:textFill>
        </w:rPr>
        <w:t>应实现自动生成应用报告，</w:t>
      </w:r>
      <w:r>
        <w:rPr>
          <w:rFonts w:hint="eastAsia" w:hAnsi="宋体" w:cs="宋体"/>
          <w:color w:val="000000" w:themeColor="text1"/>
          <w:kern w:val="2"/>
          <w:szCs w:val="21"/>
          <w14:textFill>
            <w14:solidFill>
              <w14:schemeClr w14:val="tx1"/>
            </w14:solidFill>
          </w14:textFill>
        </w:rPr>
        <w:t>按需推送</w:t>
      </w:r>
      <w:r>
        <w:rPr>
          <w:rFonts w:hAnsi="宋体" w:cs="宋体"/>
          <w:color w:val="000000" w:themeColor="text1"/>
          <w:kern w:val="2"/>
          <w:szCs w:val="21"/>
          <w14:textFill>
            <w14:solidFill>
              <w14:schemeClr w14:val="tx1"/>
            </w14:solidFill>
          </w14:textFill>
        </w:rPr>
        <w:t>项目各要素的状态和关键数据，帮助随时随地掌握现场实时生产动态</w:t>
      </w:r>
      <w:r>
        <w:rPr>
          <w:rFonts w:hint="eastAsia" w:hAnsi="宋体" w:cs="宋体"/>
          <w:color w:val="000000" w:themeColor="text1"/>
          <w:kern w:val="2"/>
          <w:szCs w:val="21"/>
          <w14:textFill>
            <w14:solidFill>
              <w14:schemeClr w14:val="tx1"/>
            </w14:solidFill>
          </w14:textFill>
        </w:rPr>
        <w:t>。</w:t>
      </w:r>
    </w:p>
    <w:p w14:paraId="19B71A0E">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5</w:t>
      </w:r>
      <w:r>
        <w:rPr>
          <w:rFonts w:hint="eastAsia" w:hAnsi="宋体" w:cs="宋体"/>
          <w:color w:val="000000" w:themeColor="text1"/>
          <w:kern w:val="2"/>
          <w:szCs w:val="21"/>
          <w14:textFill>
            <w14:solidFill>
              <w14:schemeClr w14:val="tx1"/>
            </w14:solidFill>
          </w14:textFill>
        </w:rPr>
        <w:t xml:space="preserve"> 项目平台应实现事件管理：</w:t>
      </w:r>
    </w:p>
    <w:p w14:paraId="206F5D6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1</w:t>
      </w:r>
      <w:r>
        <w:rPr>
          <w:rFonts w:hint="eastAsia"/>
        </w:rPr>
        <w:t>）</w:t>
      </w:r>
      <w:r>
        <w:rPr>
          <w:rFonts w:hAnsi="宋体" w:cs="宋体"/>
          <w:color w:val="000000" w:themeColor="text1"/>
          <w:kern w:val="2"/>
          <w:szCs w:val="21"/>
          <w14:textFill>
            <w14:solidFill>
              <w14:schemeClr w14:val="tx1"/>
            </w14:solidFill>
          </w14:textFill>
        </w:rPr>
        <w:t>应实现</w:t>
      </w:r>
      <w:r>
        <w:rPr>
          <w:rFonts w:hint="eastAsia" w:hAnsi="宋体" w:cs="宋体"/>
          <w:color w:val="000000" w:themeColor="text1"/>
          <w:kern w:val="2"/>
          <w:szCs w:val="21"/>
          <w14:textFill>
            <w14:solidFill>
              <w14:schemeClr w14:val="tx1"/>
            </w14:solidFill>
          </w14:textFill>
        </w:rPr>
        <w:t>建筑工程施工现场人员、物资、设备、技术、环境等各类事件的建立、处理、处理反馈、核查结案和综合评价；</w:t>
      </w:r>
    </w:p>
    <w:p w14:paraId="6B6036B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2</w:t>
      </w:r>
      <w:r>
        <w:rPr>
          <w:rFonts w:hint="eastAsia"/>
        </w:rPr>
        <w:t>）</w:t>
      </w:r>
      <w:r>
        <w:rPr>
          <w:rFonts w:hAnsi="宋体" w:cs="宋体"/>
          <w:color w:val="000000" w:themeColor="text1"/>
          <w:kern w:val="2"/>
          <w:szCs w:val="21"/>
          <w14:textFill>
            <w14:solidFill>
              <w14:schemeClr w14:val="tx1"/>
            </w14:solidFill>
          </w14:textFill>
        </w:rPr>
        <w:t>应实现手工录入事件信息和自动创建事件</w:t>
      </w:r>
      <w:r>
        <w:rPr>
          <w:rFonts w:hint="eastAsia" w:hAnsi="宋体" w:cs="宋体"/>
          <w:color w:val="000000" w:themeColor="text1"/>
          <w:kern w:val="2"/>
          <w:szCs w:val="21"/>
          <w14:textFill>
            <w14:solidFill>
              <w14:schemeClr w14:val="tx1"/>
            </w14:solidFill>
          </w14:textFill>
        </w:rPr>
        <w:t>；</w:t>
      </w:r>
    </w:p>
    <w:p w14:paraId="651F66E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3</w:t>
      </w:r>
      <w:r>
        <w:rPr>
          <w:rFonts w:hint="eastAsia"/>
        </w:rPr>
        <w:t>）</w:t>
      </w:r>
      <w:r>
        <w:rPr>
          <w:rFonts w:hAnsi="宋体" w:cs="宋体"/>
          <w:color w:val="000000" w:themeColor="text1"/>
          <w:kern w:val="2"/>
          <w:szCs w:val="21"/>
          <w14:textFill>
            <w14:solidFill>
              <w14:schemeClr w14:val="tx1"/>
            </w14:solidFill>
          </w14:textFill>
        </w:rPr>
        <w:t>应实现</w:t>
      </w:r>
      <w:r>
        <w:rPr>
          <w:rFonts w:hint="eastAsia" w:hAnsi="宋体" w:cs="宋体"/>
          <w:color w:val="000000" w:themeColor="text1"/>
          <w:kern w:val="2"/>
          <w:szCs w:val="21"/>
          <w14:textFill>
            <w14:solidFill>
              <w14:schemeClr w14:val="tx1"/>
            </w14:solidFill>
          </w14:textFill>
        </w:rPr>
        <w:t>基于工作流技术实现事件记录从建立、处理、处理反馈到核查结案的全闭环管理；</w:t>
      </w:r>
    </w:p>
    <w:p w14:paraId="00BB080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4</w:t>
      </w:r>
      <w:r>
        <w:rPr>
          <w:rFonts w:hint="eastAsia"/>
        </w:rPr>
        <w:t>）</w:t>
      </w:r>
      <w:r>
        <w:rPr>
          <w:rFonts w:hAnsi="宋体" w:cs="宋体"/>
          <w:color w:val="000000" w:themeColor="text1"/>
          <w:kern w:val="2"/>
          <w:szCs w:val="21"/>
          <w14:textFill>
            <w14:solidFill>
              <w14:schemeClr w14:val="tx1"/>
            </w14:solidFill>
          </w14:textFill>
        </w:rPr>
        <w:t>宜实现管理部门对施工现场事件处理的督办和催办的功能</w:t>
      </w:r>
      <w:r>
        <w:rPr>
          <w:rFonts w:hint="eastAsia" w:hAnsi="宋体" w:cs="宋体"/>
          <w:color w:val="000000" w:themeColor="text1"/>
          <w:kern w:val="2"/>
          <w:szCs w:val="21"/>
          <w14:textFill>
            <w14:solidFill>
              <w14:schemeClr w14:val="tx1"/>
            </w14:solidFill>
          </w14:textFill>
        </w:rPr>
        <w:t>；</w:t>
      </w:r>
    </w:p>
    <w:p w14:paraId="222FCE2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5</w:t>
      </w:r>
      <w:r>
        <w:rPr>
          <w:rFonts w:hint="eastAsia"/>
        </w:rPr>
        <w:t>）</w:t>
      </w:r>
      <w:r>
        <w:rPr>
          <w:rFonts w:hAnsi="宋体" w:cs="宋体"/>
          <w:color w:val="000000" w:themeColor="text1"/>
          <w:kern w:val="2"/>
          <w:szCs w:val="21"/>
          <w14:textFill>
            <w14:solidFill>
              <w14:schemeClr w14:val="tx1"/>
            </w14:solidFill>
          </w14:textFill>
        </w:rPr>
        <w:t>宜</w:t>
      </w:r>
      <w:r>
        <w:rPr>
          <w:rFonts w:hint="eastAsia" w:hAnsi="宋体" w:cs="宋体"/>
          <w:color w:val="000000" w:themeColor="text1"/>
          <w:kern w:val="2"/>
          <w:szCs w:val="21"/>
          <w14:textFill>
            <w14:solidFill>
              <w14:schemeClr w14:val="tx1"/>
            </w14:solidFill>
          </w14:textFill>
        </w:rPr>
        <w:t>实现事件处置规则配置，</w:t>
      </w:r>
      <w:r>
        <w:rPr>
          <w:rFonts w:hint="eastAsia"/>
        </w:rPr>
        <w:t>根据不同事件类型配置事件触发限值、事件推送时间间隔、事件触发预警方式</w:t>
      </w:r>
      <w:r>
        <w:t>(系统弹窗、短信提醒、APP提醒、</w:t>
      </w:r>
      <w:r>
        <w:rPr>
          <w:rFonts w:hint="eastAsia"/>
        </w:rPr>
        <w:t>声光</w:t>
      </w:r>
      <w:r>
        <w:t>提醒等)</w:t>
      </w:r>
      <w:r>
        <w:rPr>
          <w:rFonts w:hint="eastAsia" w:hAnsi="宋体" w:cs="宋体"/>
          <w:color w:val="000000" w:themeColor="text1"/>
          <w:kern w:val="2"/>
          <w:szCs w:val="21"/>
          <w14:textFill>
            <w14:solidFill>
              <w14:schemeClr w14:val="tx1"/>
            </w14:solidFill>
          </w14:textFill>
        </w:rPr>
        <w:t>。</w:t>
      </w:r>
    </w:p>
    <w:p w14:paraId="1F04B7AA">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6</w:t>
      </w:r>
      <w:r>
        <w:rPr>
          <w:rFonts w:hint="eastAsia" w:hAnsi="宋体" w:cs="宋体"/>
          <w:color w:val="000000" w:themeColor="text1"/>
          <w:kern w:val="2"/>
          <w:szCs w:val="21"/>
          <w14:textFill>
            <w14:solidFill>
              <w14:schemeClr w14:val="tx1"/>
            </w14:solidFill>
          </w14:textFill>
        </w:rPr>
        <w:t xml:space="preserve"> 项目平台应实现移动应用：</w:t>
      </w:r>
    </w:p>
    <w:p w14:paraId="1306BFA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（1）应实现建筑施工现场</w:t>
      </w:r>
      <w:r>
        <w:rPr>
          <w:rFonts w:hint="eastAsia" w:hAnsi="宋体" w:cs="宋体"/>
          <w:color w:val="000000" w:themeColor="text1"/>
          <w:kern w:val="2"/>
          <w:szCs w:val="21"/>
          <w14:textFill>
            <w14:solidFill>
              <w14:schemeClr w14:val="tx1"/>
            </w14:solidFill>
          </w14:textFill>
        </w:rPr>
        <w:t>人员、物资、设备、技术、环境等</w:t>
      </w:r>
      <w:r>
        <w:rPr>
          <w:rFonts w:hint="eastAsia"/>
        </w:rPr>
        <w:t>信息采集、巡查上报、任务接收、处理反馈、核查上报和信息查询；</w:t>
      </w:r>
    </w:p>
    <w:p w14:paraId="04F31F0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2</w:t>
      </w:r>
      <w:r>
        <w:rPr>
          <w:rFonts w:hint="eastAsia"/>
        </w:rPr>
        <w:t>）</w:t>
      </w:r>
      <w:r>
        <w:rPr>
          <w:rFonts w:hint="eastAsia" w:hAnsi="宋体" w:cs="宋体"/>
          <w:color w:val="000000" w:themeColor="text1"/>
          <w:kern w:val="2"/>
          <w:szCs w:val="21"/>
          <w14:textFill>
            <w14:solidFill>
              <w14:schemeClr w14:val="tx1"/>
            </w14:solidFill>
          </w14:textFill>
        </w:rPr>
        <w:t>应实现通过智能移动终端设备采集工程施工现场监管过程中发生的事件或投诉等情况，实现信息填报。移动应用采集的信息宜包括文本、图像、声音和位置信息等</w:t>
      </w:r>
      <w:r>
        <w:rPr>
          <w:rFonts w:hint="eastAsia"/>
        </w:rPr>
        <w:t>；</w:t>
      </w:r>
    </w:p>
    <w:p w14:paraId="7DFB32D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3</w:t>
      </w:r>
      <w:r>
        <w:rPr>
          <w:rFonts w:hint="eastAsia"/>
        </w:rPr>
        <w:t>）</w:t>
      </w:r>
      <w:r>
        <w:rPr>
          <w:rFonts w:hint="eastAsia" w:hAnsi="宋体" w:cs="宋体"/>
          <w:color w:val="000000" w:themeColor="text1"/>
          <w:kern w:val="2"/>
          <w:szCs w:val="21"/>
          <w14:textFill>
            <w14:solidFill>
              <w14:schemeClr w14:val="tx1"/>
            </w14:solidFill>
          </w14:textFill>
        </w:rPr>
        <w:t>应实现通过智能移动终端设备，将采集到的事件描述、事件发生的位置、照片和声音等信息录入上报</w:t>
      </w:r>
      <w:r>
        <w:rPr>
          <w:rFonts w:hint="eastAsia"/>
        </w:rPr>
        <w:t>；</w:t>
      </w:r>
    </w:p>
    <w:p w14:paraId="28D94C2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rPr>
        <w:t>（</w:t>
      </w:r>
      <w:r>
        <w:t>4</w:t>
      </w:r>
      <w:r>
        <w:rPr>
          <w:rFonts w:hint="eastAsia"/>
        </w:rPr>
        <w:t>）</w:t>
      </w:r>
      <w:r>
        <w:rPr>
          <w:rFonts w:hint="eastAsia" w:hAnsi="宋体" w:cs="宋体"/>
          <w:color w:val="000000" w:themeColor="text1"/>
          <w:kern w:val="2"/>
          <w:szCs w:val="21"/>
          <w14:textFill>
            <w14:solidFill>
              <w14:schemeClr w14:val="tx1"/>
            </w14:solidFill>
          </w14:textFill>
        </w:rPr>
        <w:t>应实现及时接收定期巡检、处理反馈和核查上报等任务信息，应实现查看近期个人的任务安排及任务完成情况</w:t>
      </w:r>
      <w:r>
        <w:rPr>
          <w:rFonts w:hint="eastAsia"/>
        </w:rPr>
        <w:t>；</w:t>
      </w:r>
    </w:p>
    <w:p w14:paraId="334AB29B">
      <w:pPr>
        <w:pStyle w:val="38"/>
        <w:spacing w:line="360" w:lineRule="auto"/>
        <w:ind w:firstLine="420"/>
      </w:pPr>
      <w:r>
        <w:rPr>
          <w:rFonts w:hint="eastAsia"/>
        </w:rPr>
        <w:t>（</w:t>
      </w:r>
      <w:r>
        <w:t>5</w:t>
      </w:r>
      <w:r>
        <w:rPr>
          <w:rFonts w:hint="eastAsia"/>
        </w:rPr>
        <w:t>）应实现通过移动智能终端对工程施工现场发现的各项任务（事件）进行事项调查、填写问题核实信息、处理情况反馈信息和及时上报；</w:t>
      </w:r>
    </w:p>
    <w:p w14:paraId="53B2C09F">
      <w:pPr>
        <w:pStyle w:val="38"/>
        <w:spacing w:line="360" w:lineRule="auto"/>
        <w:ind w:firstLine="420"/>
      </w:pPr>
      <w:r>
        <w:rPr>
          <w:rFonts w:hint="eastAsia"/>
        </w:rPr>
        <w:t>（</w:t>
      </w:r>
      <w:r>
        <w:t>6</w:t>
      </w:r>
      <w:r>
        <w:rPr>
          <w:rFonts w:hint="eastAsia"/>
        </w:rPr>
        <w:t>）应实现离线数据记录，确保</w:t>
      </w:r>
      <w:r>
        <w:t>施工现场</w:t>
      </w:r>
      <w:r>
        <w:rPr>
          <w:rFonts w:hint="eastAsia"/>
        </w:rPr>
        <w:t>无网或弱网环境下</w:t>
      </w:r>
      <w:r>
        <w:t>正常完成</w:t>
      </w:r>
      <w:r>
        <w:rPr>
          <w:rFonts w:hint="eastAsia"/>
        </w:rPr>
        <w:t>数据</w:t>
      </w:r>
      <w:r>
        <w:t>采集</w:t>
      </w:r>
      <w:r>
        <w:rPr>
          <w:rFonts w:hint="eastAsia"/>
        </w:rPr>
        <w:t>。</w:t>
      </w:r>
    </w:p>
    <w:p w14:paraId="0B946536">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7</w:t>
      </w:r>
      <w:r>
        <w:rPr>
          <w:rFonts w:hint="eastAsia" w:hAnsi="宋体" w:cs="宋体"/>
          <w:color w:val="000000" w:themeColor="text1"/>
          <w:kern w:val="2"/>
          <w:szCs w:val="21"/>
          <w14:textFill>
            <w14:solidFill>
              <w14:schemeClr w14:val="tx1"/>
            </w14:solidFill>
          </w14:textFill>
        </w:rPr>
        <w:t xml:space="preserve"> 项目平台的使用和数据的采集、传输、存储、共享、分析、处理等，应符合国家信息安全的规定。应指定专门维护、使用人员，制定专岗专责、明确分级使用权限、进行身份验证和控制，实现分权分域管理，确保平台数据信息安全。</w:t>
      </w:r>
    </w:p>
    <w:p w14:paraId="56FB8D1A">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8</w:t>
      </w:r>
      <w:r>
        <w:rPr>
          <w:rFonts w:hint="eastAsia" w:hAnsi="宋体" w:cs="宋体"/>
          <w:color w:val="000000" w:themeColor="text1"/>
          <w:kern w:val="2"/>
          <w:szCs w:val="21"/>
          <w14:textFill>
            <w14:solidFill>
              <w14:schemeClr w14:val="tx1"/>
            </w14:solidFill>
          </w14:textFill>
        </w:rPr>
        <w:t xml:space="preserve"> 项目平台应具有多方协同功能，实现各责任主体及相关方管理信息在项目上的集成应用。</w:t>
      </w:r>
    </w:p>
    <w:p w14:paraId="0B60F90A">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9</w:t>
      </w:r>
      <w:r>
        <w:rPr>
          <w:rFonts w:hint="eastAsia" w:hAnsi="宋体" w:cs="宋体"/>
          <w:color w:val="000000" w:themeColor="text1"/>
          <w:kern w:val="2"/>
          <w:szCs w:val="21"/>
          <w14:textFill>
            <w14:solidFill>
              <w14:schemeClr w14:val="tx1"/>
            </w14:solidFill>
          </w14:textFill>
        </w:rPr>
        <w:t xml:space="preserve"> 企业平台宜实现工程、项目团队、劳务、机械设备、进度、安全、质量、视频监控、报警统计、知识管理等功能，具备企业级协同管理、资源共享能力。</w:t>
      </w:r>
    </w:p>
    <w:p w14:paraId="223E98E6">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10</w:t>
      </w:r>
      <w:r>
        <w:rPr>
          <w:rFonts w:hint="eastAsia" w:hAnsi="宋体" w:cs="宋体"/>
          <w:color w:val="000000" w:themeColor="text1"/>
          <w:kern w:val="2"/>
          <w:szCs w:val="21"/>
          <w14:textFill>
            <w14:solidFill>
              <w14:schemeClr w14:val="tx1"/>
            </w14:solidFill>
          </w14:textFill>
        </w:rPr>
        <w:t xml:space="preserve"> 项目平台软硬件接口、协议应满足行业平台数据接口协议要求，应通过行业平台实现对企业、项目、人员及数据的验证，满足对接一致性和数据稳定传输要求，保证数据即时、有效，并符合下列要求：</w:t>
      </w:r>
    </w:p>
    <w:p w14:paraId="567C861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（1）数据服务接口的元数据编制、数据库设计、业务代码编制、数据报文、数据交换格式应符合国家、山东省和青岛市现行相关标准规定和技术要求。</w:t>
      </w:r>
    </w:p>
    <w:p w14:paraId="02313F0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（2）项目平台、仪器、设备、硬件应为需要数据传出、接入的其他平台提供可访问的接口。</w:t>
      </w:r>
    </w:p>
    <w:p w14:paraId="364CCAF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企业平台、项目平台、仪器设备、软件硬件之间应实现数据共享，可根据需要扩展、共享或集成其他外部系统的数据；数据共享应建立信息安全防控机制，通过权限管理、数据验证等方式进行控制，确保数据安全；对数据形成日志记录。</w:t>
      </w:r>
    </w:p>
    <w:p w14:paraId="3B1409A7">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11</w:t>
      </w:r>
      <w:r>
        <w:rPr>
          <w:rFonts w:hint="eastAsia" w:hAnsi="宋体" w:cs="宋体"/>
          <w:color w:val="000000" w:themeColor="text1"/>
          <w:kern w:val="2"/>
          <w:szCs w:val="21"/>
          <w14:textFill>
            <w14:solidFill>
              <w14:schemeClr w14:val="tx1"/>
            </w14:solidFill>
          </w14:textFill>
        </w:rPr>
        <w:t xml:space="preserve"> 项目、企业平台应通过验证后链接行业平台，在正式链接前应通过技术测试，并应符合青岛市《智慧化工地管理服务平台接口标准》</w:t>
      </w:r>
      <w:r>
        <w:rPr>
          <w:rFonts w:hint="eastAsia" w:hAnsi="宋体" w:cs="宋体"/>
          <w:color w:val="000000" w:themeColor="text1"/>
          <w:kern w:val="2"/>
          <w:szCs w:val="21"/>
          <w:lang w:eastAsia="zh-CN"/>
          <w14:textFill>
            <w14:solidFill>
              <w14:schemeClr w14:val="tx1"/>
            </w14:solidFill>
          </w14:textFill>
        </w:rPr>
        <w:t>（</w:t>
      </w:r>
      <w:r>
        <w:rPr>
          <w:rFonts w:hint="eastAsia" w:hAnsi="宋体" w:cs="宋体"/>
          <w:color w:val="000000" w:themeColor="text1"/>
          <w:kern w:val="2"/>
          <w:szCs w:val="21"/>
          <w:lang w:val="en-US" w:eastAsia="zh-CN"/>
          <w14:textFill>
            <w14:solidFill>
              <w14:schemeClr w14:val="tx1"/>
            </w14:solidFill>
          </w14:textFill>
        </w:rPr>
        <w:t>现行</w:t>
      </w:r>
      <w:r>
        <w:rPr>
          <w:rFonts w:hint="eastAsia" w:hAnsi="宋体" w:cs="宋体"/>
          <w:color w:val="000000" w:themeColor="text1"/>
          <w:kern w:val="2"/>
          <w:szCs w:val="21"/>
          <w:lang w:eastAsia="zh-CN"/>
          <w14:textFill>
            <w14:solidFill>
              <w14:schemeClr w14:val="tx1"/>
            </w14:solidFill>
          </w14:textFill>
        </w:rPr>
        <w:t>）</w:t>
      </w:r>
      <w:r>
        <w:rPr>
          <w:rFonts w:hint="eastAsia" w:hAnsi="宋体" w:cs="宋体"/>
          <w:color w:val="000000" w:themeColor="text1"/>
          <w:kern w:val="2"/>
          <w:szCs w:val="21"/>
          <w14:textFill>
            <w14:solidFill>
              <w14:schemeClr w14:val="tx1"/>
            </w14:solidFill>
          </w14:textFill>
        </w:rPr>
        <w:t>。</w:t>
      </w:r>
    </w:p>
    <w:p w14:paraId="0AC32FED">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12</w:t>
      </w:r>
      <w:r>
        <w:rPr>
          <w:rFonts w:hint="eastAsia" w:hAnsi="宋体" w:cs="宋体"/>
          <w:color w:val="000000" w:themeColor="text1"/>
          <w:kern w:val="2"/>
          <w:szCs w:val="21"/>
          <w14:textFill>
            <w14:solidFill>
              <w14:schemeClr w14:val="tx1"/>
            </w14:solidFill>
          </w14:textFill>
        </w:rPr>
        <w:t xml:space="preserve"> 项目平台应实时上传预警、报警、违规信息至行业平台。项目或企业采取干预措施处理后，应及时更改行业平台相应状态，进行闭环管理。处理信息一般包括处理时间、处理人、处理措施、处理后结论。</w:t>
      </w:r>
    </w:p>
    <w:p w14:paraId="7D124BEB">
      <w:pPr>
        <w:pStyle w:val="40"/>
        <w:ind w:firstLine="0" w:firstLineChars="0"/>
        <w:jc w:val="center"/>
        <w:outlineLvl w:val="1"/>
        <w:rPr>
          <w:rFonts w:hint="eastAsia" w:eastAsia="黑体" w:cs="宋体"/>
          <w:color w:val="000000" w:themeColor="text1"/>
          <w:szCs w:val="21"/>
          <w:lang w:val="en-US" w:eastAsia="zh-CN"/>
          <w14:textFill>
            <w14:solidFill>
              <w14:schemeClr w14:val="tx1"/>
            </w14:solidFill>
          </w14:textFill>
        </w:rPr>
      </w:pPr>
      <w:bookmarkStart w:id="84" w:name="_Toc12693"/>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2</w:t>
      </w:r>
      <w:r>
        <w:rPr>
          <w:rFonts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施工安全管</w:t>
      </w:r>
      <w:r>
        <w:rPr>
          <w:rFonts w:hint="eastAsia" w:ascii="黑体" w:hAnsi="黑体" w:eastAsia="黑体" w:cs="黑体"/>
          <w:color w:val="auto"/>
          <w:szCs w:val="21"/>
        </w:rPr>
        <w:t>理</w:t>
      </w:r>
      <w:bookmarkEnd w:id="84"/>
      <w:r>
        <w:rPr>
          <w:rFonts w:hint="eastAsia" w:ascii="黑体" w:hAnsi="黑体" w:eastAsia="黑体" w:cs="黑体"/>
          <w:color w:val="auto"/>
          <w:szCs w:val="21"/>
          <w:lang w:val="en-US" w:eastAsia="zh-CN"/>
        </w:rPr>
        <w:t>类</w:t>
      </w:r>
    </w:p>
    <w:p w14:paraId="41F778BF">
      <w:pPr>
        <w:pStyle w:val="88"/>
      </w:pPr>
      <w:bookmarkStart w:id="85" w:name="_Toc3916"/>
      <w:bookmarkStart w:id="86" w:name="_Toc153316362"/>
      <w:bookmarkStart w:id="87" w:name="_Toc24533"/>
      <w:bookmarkStart w:id="88" w:name="_Toc149385739"/>
      <w:r>
        <w:t>5</w:t>
      </w:r>
      <w:r>
        <w:rPr>
          <w:rFonts w:hint="eastAsia"/>
        </w:rPr>
        <w:t>.2.1 施工安全管理</w:t>
      </w:r>
    </w:p>
    <w:p w14:paraId="4DE01353">
      <w:pPr>
        <w:pStyle w:val="90"/>
      </w:pPr>
      <w:r>
        <w:rPr>
          <w:rFonts w:hint="eastAsia"/>
        </w:rPr>
        <w:t>1 安全专项方案</w:t>
      </w:r>
    </w:p>
    <w:p w14:paraId="28522C1F">
      <w:pPr>
        <w:pStyle w:val="90"/>
      </w:pPr>
      <w:r>
        <w:rPr>
          <w:rFonts w:hint="eastAsia"/>
        </w:rPr>
        <w:t>（1）应实现安全专项方案的管理、上传、维护和查询；</w:t>
      </w:r>
    </w:p>
    <w:p w14:paraId="73737A59">
      <w:pPr>
        <w:pStyle w:val="90"/>
      </w:pPr>
      <w:r>
        <w:rPr>
          <w:rFonts w:hint="eastAsia"/>
        </w:rPr>
        <w:t>（2）应按业务流程完成相应方案审批，审批流程宜实现电子签章或签名；</w:t>
      </w:r>
    </w:p>
    <w:p w14:paraId="3029A769">
      <w:pPr>
        <w:pStyle w:val="90"/>
      </w:pPr>
      <w:r>
        <w:rPr>
          <w:rFonts w:hint="eastAsia"/>
        </w:rPr>
        <w:t>（3）专项方案应包括方案名称、方案类型、简述、编制人、编制日期、审核人、审核时间、审核意见、审批人、审批时间、审批意见、附件等；</w:t>
      </w:r>
    </w:p>
    <w:p w14:paraId="49084362">
      <w:pPr>
        <w:pStyle w:val="90"/>
      </w:pPr>
      <w:r>
        <w:rPr>
          <w:rFonts w:hint="eastAsia"/>
        </w:rPr>
        <w:t>（4）应实现专项方案过程跟踪检查、问题隐患、整改与销项的信息化上报；</w:t>
      </w:r>
    </w:p>
    <w:p w14:paraId="5D0DD114">
      <w:pPr>
        <w:pStyle w:val="90"/>
      </w:pPr>
      <w:r>
        <w:rPr>
          <w:rFonts w:hint="eastAsia"/>
        </w:rPr>
        <w:t>（5）应实现对现场的安全管理、各类检查记录、整改通知及回复等功能；</w:t>
      </w:r>
    </w:p>
    <w:p w14:paraId="761ADB3B">
      <w:pPr>
        <w:pStyle w:val="90"/>
      </w:pPr>
      <w:r>
        <w:rPr>
          <w:rFonts w:hint="eastAsia"/>
        </w:rPr>
        <w:t>（6）可使用移动终端下发隐患整改通知单，维护审核、复查信息、上传整改数据；</w:t>
      </w:r>
    </w:p>
    <w:p w14:paraId="7F596702">
      <w:pPr>
        <w:pStyle w:val="90"/>
      </w:pPr>
      <w:r>
        <w:rPr>
          <w:rFonts w:hint="eastAsia"/>
        </w:rPr>
        <w:t>（7）应实现专项方案验收情况记录，内容应包括验收人员、验收内容及结果；</w:t>
      </w:r>
    </w:p>
    <w:p w14:paraId="23D1AC3E">
      <w:pPr>
        <w:pStyle w:val="90"/>
      </w:pPr>
      <w:r>
        <w:rPr>
          <w:rFonts w:hint="eastAsia"/>
        </w:rPr>
        <w:t>（8）专项方案相关信息应上传至项目、企业、行业平台。</w:t>
      </w:r>
    </w:p>
    <w:p w14:paraId="3DC98B62">
      <w:pPr>
        <w:pStyle w:val="90"/>
      </w:pPr>
      <w:r>
        <w:rPr>
          <w:rFonts w:hint="eastAsia"/>
        </w:rPr>
        <w:t>2 安全技术交底</w:t>
      </w:r>
    </w:p>
    <w:p w14:paraId="77F505AA">
      <w:pPr>
        <w:pStyle w:val="90"/>
      </w:pPr>
      <w:r>
        <w:rPr>
          <w:rFonts w:hint="eastAsia"/>
        </w:rPr>
        <w:t>（1）应实现安全技术交底的管理、上传、维护和查询；</w:t>
      </w:r>
    </w:p>
    <w:p w14:paraId="0DE74D83">
      <w:pPr>
        <w:pStyle w:val="90"/>
      </w:pPr>
      <w:r>
        <w:rPr>
          <w:rFonts w:hint="eastAsia"/>
        </w:rPr>
        <w:t>（2）交底信息应实现各参与方协同管理、信息共享；</w:t>
      </w:r>
    </w:p>
    <w:p w14:paraId="7D954CB7">
      <w:pPr>
        <w:pStyle w:val="90"/>
      </w:pPr>
      <w:r>
        <w:rPr>
          <w:rFonts w:hint="eastAsia"/>
        </w:rPr>
        <w:t>（3）安全技术交底信息应上传至项目、企业、行业平台；</w:t>
      </w:r>
    </w:p>
    <w:p w14:paraId="63ACF62C">
      <w:pPr>
        <w:pStyle w:val="90"/>
      </w:pPr>
      <w:r>
        <w:rPr>
          <w:rFonts w:hint="eastAsia"/>
        </w:rPr>
        <w:t>（4）安全技术交底信息应包括交底名称、交底类型、交底内容、交底人、交底日期、被交底人及附件。</w:t>
      </w:r>
    </w:p>
    <w:p w14:paraId="7D6CF330">
      <w:pPr>
        <w:pStyle w:val="90"/>
      </w:pPr>
      <w:r>
        <w:rPr>
          <w:rFonts w:hint="eastAsia"/>
        </w:rPr>
        <w:t>3 安全风险分级管控与隐患排查治理</w:t>
      </w:r>
    </w:p>
    <w:p w14:paraId="57BA6648">
      <w:pPr>
        <w:pStyle w:val="90"/>
      </w:pPr>
      <w:r>
        <w:rPr>
          <w:rFonts w:hint="eastAsia"/>
        </w:rPr>
        <w:t>（1）应实现安全风险管理、维护和查询；</w:t>
      </w:r>
    </w:p>
    <w:p w14:paraId="24F2BD16">
      <w:pPr>
        <w:pStyle w:val="90"/>
      </w:pPr>
      <w:r>
        <w:rPr>
          <w:rFonts w:hint="eastAsia"/>
        </w:rPr>
        <w:t>（2）安全风险分级管控应包括安全生产风险辨识、安全生产风险等级评定、安全生产风险台账、防护措施、检查管理等；</w:t>
      </w:r>
    </w:p>
    <w:p w14:paraId="0F4CC22C">
      <w:pPr>
        <w:pStyle w:val="90"/>
      </w:pPr>
      <w:r>
        <w:rPr>
          <w:rFonts w:hint="eastAsia"/>
        </w:rPr>
        <w:t>（3）隐患排查管理应包括危险源库管理，安全检查计划管理，拍照和短视频录制，生成和推送整改通知单等；</w:t>
      </w:r>
    </w:p>
    <w:p w14:paraId="0EC1C8E9">
      <w:pPr>
        <w:pStyle w:val="90"/>
      </w:pPr>
      <w:r>
        <w:rPr>
          <w:rFonts w:hint="eastAsia"/>
        </w:rPr>
        <w:t>（4）应实现安全风险管控与隐患排查治理数据统计、查询、分析、预警及推送；</w:t>
      </w:r>
    </w:p>
    <w:p w14:paraId="3B454B97">
      <w:pPr>
        <w:pStyle w:val="90"/>
      </w:pPr>
      <w:r>
        <w:rPr>
          <w:rFonts w:hint="eastAsia"/>
        </w:rPr>
        <w:t>（5）宜实现远程实时查看整改完成情况、督促整改、移动设备离线模式处理数据；</w:t>
      </w:r>
    </w:p>
    <w:p w14:paraId="6C71BB7E">
      <w:pPr>
        <w:pStyle w:val="90"/>
      </w:pPr>
      <w:r>
        <w:rPr>
          <w:rFonts w:hint="eastAsia"/>
        </w:rPr>
        <w:t>（6）应实现风险分级管控与隐患排查治理的闭环管理；</w:t>
      </w:r>
    </w:p>
    <w:p w14:paraId="6232B03B">
      <w:pPr>
        <w:pStyle w:val="90"/>
      </w:pPr>
      <w:r>
        <w:rPr>
          <w:rFonts w:hint="eastAsia"/>
        </w:rPr>
        <w:t>（7）重大风险源信息应上传至项目、企业、行业平台；</w:t>
      </w:r>
    </w:p>
    <w:p w14:paraId="4D9FB128">
      <w:pPr>
        <w:pStyle w:val="90"/>
      </w:pPr>
      <w:r>
        <w:rPr>
          <w:rFonts w:hint="eastAsia"/>
        </w:rPr>
        <w:t>（8）重大风险源信息应包括项目名称、风险源名称、风险源部位、风险等级、风险描述、风险排查计划、管控措施、责任人、过程排查记录。</w:t>
      </w:r>
    </w:p>
    <w:p w14:paraId="025C30B0">
      <w:pPr>
        <w:pStyle w:val="90"/>
      </w:pPr>
      <w:r>
        <w:rPr>
          <w:rFonts w:hint="eastAsia"/>
        </w:rPr>
        <w:t>4 隐患巡检排查</w:t>
      </w:r>
    </w:p>
    <w:p w14:paraId="25C48BA8">
      <w:pPr>
        <w:pStyle w:val="90"/>
      </w:pPr>
      <w:r>
        <w:rPr>
          <w:rFonts w:hint="eastAsia"/>
        </w:rPr>
        <w:t>（1）应实现安全周检、月检、专项检查、季节性检查、主管部门检查信息记录、评估、建档以及整改和验收的闭环管理；</w:t>
      </w:r>
    </w:p>
    <w:p w14:paraId="002E7CF6">
      <w:pPr>
        <w:pStyle w:val="90"/>
      </w:pPr>
      <w:r>
        <w:rPr>
          <w:rFonts w:hint="eastAsia"/>
        </w:rPr>
        <w:t>（2）应实现隐患照片、视频留存、自动存储归档、照片资料下载；</w:t>
      </w:r>
    </w:p>
    <w:p w14:paraId="127C9414">
      <w:pPr>
        <w:pStyle w:val="90"/>
      </w:pPr>
      <w:r>
        <w:rPr>
          <w:rFonts w:hint="eastAsia"/>
        </w:rPr>
        <w:t>（</w:t>
      </w:r>
      <w:r>
        <w:t>3</w:t>
      </w:r>
      <w:r>
        <w:rPr>
          <w:rFonts w:hint="eastAsia"/>
        </w:rPr>
        <w:t>） 应实现隐患排查记录自动整理形成检查台账，宜结合行业大数据推送提醒或建议；</w:t>
      </w:r>
    </w:p>
    <w:p w14:paraId="50498B46">
      <w:pPr>
        <w:pStyle w:val="90"/>
      </w:pPr>
      <w:r>
        <w:rPr>
          <w:rFonts w:hint="eastAsia"/>
        </w:rPr>
        <w:t>（4）宜实现远程实时查看整改完成情况、督促整改情况；</w:t>
      </w:r>
    </w:p>
    <w:p w14:paraId="3070D3A1">
      <w:pPr>
        <w:pStyle w:val="90"/>
      </w:pPr>
      <w:r>
        <w:rPr>
          <w:rFonts w:hint="eastAsia"/>
        </w:rPr>
        <w:t>（5）应实现隐患巡检排查信息的闭环管理，隐患巡检排查信息应包括巡检人、巡检时间、巡检类型、巡检部位、巡检问题描述、巡检结论、巡检问题整改人、整改时间、整改效果说明、复检时间、复检人、复检结论、影像资料等。</w:t>
      </w:r>
    </w:p>
    <w:p w14:paraId="73739350">
      <w:pPr>
        <w:pStyle w:val="90"/>
      </w:pPr>
      <w:r>
        <w:rPr>
          <w:rFonts w:hint="eastAsia"/>
        </w:rPr>
        <w:t>5 风险点二维码隐患措施系统</w:t>
      </w:r>
    </w:p>
    <w:p w14:paraId="33E75D5F">
      <w:pPr>
        <w:pStyle w:val="90"/>
      </w:pPr>
      <w:r>
        <w:rPr>
          <w:rFonts w:hint="eastAsia"/>
        </w:rPr>
        <w:t>（1）施工现场宜在危大工程施工部位、起重机械设备、物料加工等风险点较多区域设置二维码，供相关人员扫码查询存在的风险隐患及应对措施；</w:t>
      </w:r>
    </w:p>
    <w:p w14:paraId="4DF5E259">
      <w:pPr>
        <w:pStyle w:val="90"/>
      </w:pPr>
      <w:r>
        <w:rPr>
          <w:rFonts w:hint="eastAsia"/>
        </w:rPr>
        <w:t>（2）扫描二维码应实现显示此部位施工风险清单，并可查看对应风险详细描述，如风险描述、排查范围、排查周期、排查频率、风险负责人、管控措施等；</w:t>
      </w:r>
    </w:p>
    <w:p w14:paraId="6CF94C31">
      <w:pPr>
        <w:pStyle w:val="90"/>
      </w:pPr>
      <w:r>
        <w:rPr>
          <w:rFonts w:hint="eastAsia"/>
        </w:rPr>
        <w:t>（3）扫描二维码应实现显示对应风险的排查记录、隐患整改记录等相关信息；</w:t>
      </w:r>
    </w:p>
    <w:p w14:paraId="32ECE82A">
      <w:pPr>
        <w:pStyle w:val="90"/>
      </w:pPr>
      <w:r>
        <w:rPr>
          <w:rFonts w:hint="eastAsia"/>
        </w:rPr>
        <w:t>（4）风险点二维码应与安全风险分级管控与隐患排查治理联动实现风险动态管理。</w:t>
      </w:r>
    </w:p>
    <w:p w14:paraId="4593708B">
      <w:pPr>
        <w:pStyle w:val="90"/>
      </w:pPr>
      <w:r>
        <w:rPr>
          <w:rFonts w:hint="eastAsia"/>
        </w:rPr>
        <w:t>6 安全应急管理</w:t>
      </w:r>
    </w:p>
    <w:p w14:paraId="445163CE">
      <w:pPr>
        <w:pStyle w:val="90"/>
      </w:pPr>
      <w:r>
        <w:rPr>
          <w:rFonts w:hint="eastAsia"/>
        </w:rPr>
        <w:t>（1）应实现安全应急管理环境、事故信息预警和统计分析；</w:t>
      </w:r>
    </w:p>
    <w:p w14:paraId="016EB17A">
      <w:pPr>
        <w:pStyle w:val="90"/>
      </w:pPr>
      <w:r>
        <w:rPr>
          <w:rFonts w:hint="eastAsia"/>
        </w:rPr>
        <w:t>（2）应急管理模块应实现应急预案管理、应急人员管理、应急物资管理、应急演练管理、应急组织管理、应急事件处置信息过程信息进行记录和溯源管理、应急预警信息推送等；</w:t>
      </w:r>
    </w:p>
    <w:p w14:paraId="0E9B4E6B">
      <w:pPr>
        <w:pStyle w:val="90"/>
      </w:pPr>
      <w:r>
        <w:rPr>
          <w:rFonts w:hint="eastAsia"/>
        </w:rPr>
        <w:t>（3）安全应急管理信息应上传至项目、企业、行业平台。</w:t>
      </w:r>
    </w:p>
    <w:p w14:paraId="771C2214">
      <w:pPr>
        <w:pStyle w:val="90"/>
      </w:pPr>
      <w:r>
        <w:rPr>
          <w:rFonts w:hint="eastAsia"/>
        </w:rPr>
        <w:t>7 安全教育培训</w:t>
      </w:r>
    </w:p>
    <w:p w14:paraId="0D54625A">
      <w:pPr>
        <w:pStyle w:val="90"/>
      </w:pPr>
      <w:r>
        <w:rPr>
          <w:rFonts w:hint="eastAsia"/>
        </w:rPr>
        <w:t>（1）安全教育培训应有完善的管理制度和培训记录，可采用VR、远程视频等形式增强培训效果；</w:t>
      </w:r>
    </w:p>
    <w:p w14:paraId="794DC2FA">
      <w:pPr>
        <w:pStyle w:val="90"/>
      </w:pPr>
      <w:r>
        <w:rPr>
          <w:rFonts w:hint="eastAsia"/>
        </w:rPr>
        <w:t>（2）安全教育培训应符合国家、山东省及青岛市现行有关规范及标准的规定；</w:t>
      </w:r>
    </w:p>
    <w:p w14:paraId="373DD813">
      <w:pPr>
        <w:pStyle w:val="90"/>
      </w:pPr>
      <w:r>
        <w:rPr>
          <w:rFonts w:hint="eastAsia"/>
        </w:rPr>
        <w:t>（3）安全教育培训信息应包括项目名称、教育类型、培训时间、附件（培训内容、签到表、培训过程影像、考核结果等资料）；</w:t>
      </w:r>
    </w:p>
    <w:p w14:paraId="5A971011">
      <w:pPr>
        <w:pStyle w:val="90"/>
      </w:pPr>
      <w:r>
        <w:rPr>
          <w:rFonts w:hint="eastAsia"/>
        </w:rPr>
        <w:t>（4）安全教育培训应采用信息化手段生成专属二维码，管理人员可通过扫码直接查看现场人员教育培训情况；</w:t>
      </w:r>
    </w:p>
    <w:p w14:paraId="70503ABC">
      <w:pPr>
        <w:pStyle w:val="90"/>
      </w:pPr>
      <w:r>
        <w:rPr>
          <w:rFonts w:hint="eastAsia"/>
        </w:rPr>
        <w:t>（5）安全教育培训类型应包括三级安全教育、班前教育、季节性安全教育、专项安全教育等；</w:t>
      </w:r>
    </w:p>
    <w:p w14:paraId="50EA20FA">
      <w:pPr>
        <w:pStyle w:val="90"/>
      </w:pPr>
      <w:r>
        <w:rPr>
          <w:rFonts w:hint="eastAsia"/>
        </w:rPr>
        <w:t>（6）安全教育培训信息应上传至项目、企业、行业平台。</w:t>
      </w:r>
    </w:p>
    <w:p w14:paraId="40FFF934">
      <w:pPr>
        <w:pStyle w:val="90"/>
      </w:pPr>
      <w:r>
        <w:rPr>
          <w:rFonts w:hint="eastAsia"/>
        </w:rPr>
        <w:t>8动火作业管理</w:t>
      </w:r>
    </w:p>
    <w:p w14:paraId="37080653">
      <w:pPr>
        <w:pStyle w:val="90"/>
      </w:pPr>
      <w:r>
        <w:rPr>
          <w:rFonts w:hint="eastAsia"/>
        </w:rPr>
        <w:t>（1）应实现动火作业许可审批功能，对动火作业流程进行管理、维护和查询；</w:t>
      </w:r>
    </w:p>
    <w:p w14:paraId="49E76E1A">
      <w:pPr>
        <w:pStyle w:val="90"/>
      </w:pPr>
      <w:r>
        <w:rPr>
          <w:rFonts w:hint="eastAsia"/>
        </w:rPr>
        <w:t>（2）宜实现过程视频监控与火灾报警功能以及事后的视频回放与隐患回溯功能。</w:t>
      </w:r>
    </w:p>
    <w:p w14:paraId="4E77AE04">
      <w:pPr>
        <w:pStyle w:val="90"/>
      </w:pPr>
      <w:r>
        <w:t>9</w:t>
      </w:r>
      <w:r>
        <w:rPr>
          <w:rFonts w:hint="eastAsia"/>
        </w:rPr>
        <w:t>安全资料</w:t>
      </w:r>
    </w:p>
    <w:p w14:paraId="605BAFBC">
      <w:pPr>
        <w:pStyle w:val="90"/>
      </w:pPr>
      <w:r>
        <w:rPr>
          <w:rFonts w:hint="eastAsia"/>
        </w:rPr>
        <w:t>（1）应实现安全资料的管理、维护和查询；</w:t>
      </w:r>
    </w:p>
    <w:p w14:paraId="3871A8CC">
      <w:pPr>
        <w:pStyle w:val="90"/>
      </w:pPr>
      <w:r>
        <w:rPr>
          <w:rFonts w:hint="eastAsia"/>
        </w:rPr>
        <w:t>（2）安全资料管理模块应实现对各项安全资料进行电子化文档上传、资料在线共享、施工规范在线查询、安全日志在线编写、施工规范在线收藏等；</w:t>
      </w:r>
    </w:p>
    <w:p w14:paraId="7B656A5B">
      <w:pPr>
        <w:pStyle w:val="90"/>
      </w:pPr>
      <w:r>
        <w:rPr>
          <w:rFonts w:hint="eastAsia"/>
        </w:rPr>
        <w:t>（3）应实现远程实时调取查看，并支持移动端实时查询；</w:t>
      </w:r>
    </w:p>
    <w:p w14:paraId="7CAE1380">
      <w:pPr>
        <w:pStyle w:val="90"/>
      </w:pPr>
      <w:r>
        <w:rPr>
          <w:rFonts w:hint="eastAsia"/>
        </w:rPr>
        <w:t>（4）安全资料信息数据及存储应符合现行地方标准《建筑施工现场安全管理资料规程》</w:t>
      </w:r>
      <w:r>
        <w:rPr>
          <w:rFonts w:hint="eastAsia" w:ascii="Times New Roman" w:hAnsi="Times New Roman" w:eastAsia="黑体" w:cs="Times New Roman"/>
          <w:kern w:val="0"/>
          <w:szCs w:val="20"/>
        </w:rPr>
        <w:t>DB37/T 5063-2016</w:t>
      </w:r>
      <w:r>
        <w:rPr>
          <w:rFonts w:hint="eastAsia"/>
        </w:rPr>
        <w:t>的规定。</w:t>
      </w:r>
    </w:p>
    <w:p w14:paraId="3D2F0BD0">
      <w:pPr>
        <w:pStyle w:val="90"/>
      </w:pPr>
      <w:r>
        <w:t>10</w:t>
      </w:r>
      <w:r>
        <w:rPr>
          <w:rFonts w:hint="eastAsia"/>
        </w:rPr>
        <w:t>安全生产标准化考评</w:t>
      </w:r>
    </w:p>
    <w:p w14:paraId="50E4FD35">
      <w:pPr>
        <w:pStyle w:val="90"/>
      </w:pPr>
      <w:r>
        <w:rPr>
          <w:rFonts w:hint="eastAsia"/>
        </w:rPr>
        <w:t>（1）应实现安全生产标准化考评的管理、上传、维护和查询；</w:t>
      </w:r>
    </w:p>
    <w:p w14:paraId="7BD2C180">
      <w:pPr>
        <w:pStyle w:val="90"/>
      </w:pPr>
      <w:r>
        <w:rPr>
          <w:rFonts w:hint="eastAsia"/>
        </w:rPr>
        <w:t>（2）项目、企业自评信息应上传至企业、行业平台；</w:t>
      </w:r>
    </w:p>
    <w:p w14:paraId="5F56573D">
      <w:pPr>
        <w:pStyle w:val="90"/>
      </w:pPr>
      <w:r>
        <w:rPr>
          <w:rFonts w:hint="eastAsia"/>
        </w:rPr>
        <w:t>（3）项目月度自评应符合《建筑施工安全检查标准》JGJ 59的规定,并上传行业平台；</w:t>
      </w:r>
    </w:p>
    <w:p w14:paraId="0E5DB639">
      <w:pPr>
        <w:pStyle w:val="90"/>
      </w:pPr>
      <w:r>
        <w:rPr>
          <w:rFonts w:hint="eastAsia"/>
        </w:rPr>
        <w:t>（4）建筑施工企业年度自评应符合《施工企业安全生产评价标准》JGJ/T 77、《安全防范工程通用规范》GB 55029的规定,并上传行业平台。</w:t>
      </w:r>
    </w:p>
    <w:p w14:paraId="3C24743C">
      <w:pPr>
        <w:pStyle w:val="88"/>
      </w:pPr>
      <w:r>
        <w:t>5</w:t>
      </w:r>
      <w:r>
        <w:rPr>
          <w:rFonts w:hint="eastAsia"/>
        </w:rPr>
        <w:t>.2.2 视频监控</w:t>
      </w:r>
    </w:p>
    <w:p w14:paraId="5D8BFF3B">
      <w:pPr>
        <w:pStyle w:val="90"/>
      </w:pPr>
      <w:r>
        <w:rPr>
          <w:rFonts w:hint="eastAsia"/>
        </w:rPr>
        <w:t>1 视频监控应包含实时显示查看、视频控制、录像回放、视频轮巡、设备管理、权限管理等，应可通过移动设备实时查看、录像回放。宜兼容吊钩盲区可视化、AI危险源智能识别等其他各类工地的视频资源。宜支持对监控点进行双向对讲及语音广播。实现对施工现场安全生产、环境保护和人员管理等方面进行实时、有效的监控和管理。</w:t>
      </w:r>
    </w:p>
    <w:p w14:paraId="5ECB67AD">
      <w:pPr>
        <w:pStyle w:val="90"/>
      </w:pPr>
      <w:r>
        <w:t>2</w:t>
      </w:r>
      <w:r>
        <w:rPr>
          <w:rFonts w:hint="eastAsia"/>
        </w:rPr>
        <w:t xml:space="preserve"> 视频监控数据本地存储不少于30日。</w:t>
      </w:r>
    </w:p>
    <w:p w14:paraId="3C55519B">
      <w:pPr>
        <w:pStyle w:val="90"/>
      </w:pPr>
      <w:r>
        <w:t>3</w:t>
      </w:r>
      <w:r>
        <w:rPr>
          <w:rFonts w:hint="eastAsia"/>
        </w:rPr>
        <w:t xml:space="preserve"> 有夜间施工需求的，应满足夜间监控需要。</w:t>
      </w:r>
    </w:p>
    <w:p w14:paraId="30288785">
      <w:pPr>
        <w:pStyle w:val="90"/>
      </w:pPr>
      <w:r>
        <w:t>4</w:t>
      </w:r>
      <w:r>
        <w:rPr>
          <w:rFonts w:hint="eastAsia"/>
        </w:rPr>
        <w:t xml:space="preserve"> 视频监控设备的布设、捕影、传输、显示、存储、维护保养等技术要求应符合现行行业标准《建筑工程施工现场视频监控技术规范》JGJ/T 292、《建筑工程施工现场监管信息系统技术标准》JGJ/T 434等相关要求。</w:t>
      </w:r>
    </w:p>
    <w:p w14:paraId="1DE3B57C">
      <w:pPr>
        <w:pStyle w:val="90"/>
      </w:pPr>
      <w:r>
        <w:t>5</w:t>
      </w:r>
      <w:r>
        <w:rPr>
          <w:rFonts w:hint="eastAsia"/>
        </w:rPr>
        <w:t xml:space="preserve"> 建筑面积在50000㎡及以下的标段工程，监控点位数量不应少于3个，50000㎡-100000㎡的（含）不少于5个，100000㎡以上的不少于8个。</w:t>
      </w:r>
    </w:p>
    <w:p w14:paraId="43B62A6B">
      <w:pPr>
        <w:pStyle w:val="90"/>
      </w:pPr>
      <w:r>
        <w:t>6</w:t>
      </w:r>
      <w:r>
        <w:rPr>
          <w:rFonts w:hint="eastAsia"/>
        </w:rPr>
        <w:t xml:space="preserve"> 监控点应覆盖施工作业区、现场办公区和现场生活区，如工地出入口、围墙、施工区、办公区、生活区、材料堆放区、垃圾堆放区、塔吊顶部以及其他施工现场制高点等区域。施工现场人员进出通道、车辆进出通道、设备运行区域、主干道路、堆料场库等应安装高清摄像设备。施工现场制高点应安装高清球机摄像机，能反映施工作业面情况，并实现远程视频传送。</w:t>
      </w:r>
    </w:p>
    <w:p w14:paraId="3E861294">
      <w:pPr>
        <w:pStyle w:val="90"/>
      </w:pPr>
      <w:r>
        <w:t>7</w:t>
      </w:r>
      <w:r>
        <w:rPr>
          <w:rFonts w:hint="eastAsia"/>
        </w:rPr>
        <w:t xml:space="preserve"> 应安排专人定期对视频监控设备运行状态进行检查、维护。</w:t>
      </w:r>
    </w:p>
    <w:p w14:paraId="38838B16">
      <w:pPr>
        <w:pStyle w:val="90"/>
      </w:pPr>
      <w:r>
        <w:t>8</w:t>
      </w:r>
      <w:r>
        <w:rPr>
          <w:rFonts w:hint="eastAsia"/>
        </w:rPr>
        <w:t xml:space="preserve"> 应符合国家、山东省及青岛市现行有关规范及标准的规定。</w:t>
      </w:r>
    </w:p>
    <w:p w14:paraId="297BA43C">
      <w:pPr>
        <w:pStyle w:val="90"/>
      </w:pPr>
      <w:r>
        <w:t>9</w:t>
      </w:r>
      <w:r>
        <w:rPr>
          <w:rFonts w:hint="eastAsia"/>
        </w:rPr>
        <w:t xml:space="preserve"> 视频数据应上传至项目、企业、行业平台。</w:t>
      </w:r>
    </w:p>
    <w:p w14:paraId="07585217">
      <w:pPr>
        <w:pStyle w:val="88"/>
      </w:pPr>
      <w:r>
        <w:t>5</w:t>
      </w:r>
      <w:r>
        <w:rPr>
          <w:rFonts w:hint="eastAsia"/>
        </w:rPr>
        <w:t>.2.3 AI视频危险源识别</w:t>
      </w:r>
    </w:p>
    <w:p w14:paraId="6251E9FC">
      <w:pPr>
        <w:pStyle w:val="90"/>
      </w:pPr>
      <w:r>
        <w:rPr>
          <w:rFonts w:hint="eastAsia"/>
        </w:rPr>
        <w:t>1 应与视频监控技术配合在主要通道口，施工现场作业面配备AI视频危险源识别系统。实现智能识别、自动抓拍、影响留存、自动报警和信息推送，可通过移动设备实时查看违规影像资料。</w:t>
      </w:r>
    </w:p>
    <w:p w14:paraId="7B8A5A23">
      <w:pPr>
        <w:pStyle w:val="90"/>
      </w:pPr>
      <w:r>
        <w:rPr>
          <w:rFonts w:hint="eastAsia"/>
        </w:rPr>
        <w:t>2 AI自动分析处理快速完成，并即时将违规类型、时间、违规位置及相关影像资料上传项目、企业、行业平台。应支持全日候不间断工作。</w:t>
      </w:r>
    </w:p>
    <w:p w14:paraId="05B0D8A5">
      <w:pPr>
        <w:pStyle w:val="90"/>
      </w:pPr>
      <w:r>
        <w:rPr>
          <w:rFonts w:hint="eastAsia"/>
        </w:rPr>
        <w:t>3 应与智能广播系统联动，对违规信息进行预警。</w:t>
      </w:r>
    </w:p>
    <w:p w14:paraId="6C73E304">
      <w:pPr>
        <w:pStyle w:val="90"/>
      </w:pPr>
      <w:r>
        <w:rPr>
          <w:rFonts w:hint="eastAsia"/>
        </w:rPr>
        <w:t>4 AI识别的违规行为，现场管理人员应及时采取干预措施，实现闭环管理。</w:t>
      </w:r>
    </w:p>
    <w:p w14:paraId="34D90FAF">
      <w:pPr>
        <w:pStyle w:val="90"/>
      </w:pPr>
      <w:r>
        <w:rPr>
          <w:rFonts w:hint="eastAsia"/>
        </w:rPr>
        <w:t>5 AI视频报警信息应包括时间、行为描述、行为类型、监控点。</w:t>
      </w:r>
    </w:p>
    <w:p w14:paraId="063B708A">
      <w:pPr>
        <w:pStyle w:val="90"/>
      </w:pPr>
      <w:r>
        <w:rPr>
          <w:rFonts w:hint="eastAsia"/>
        </w:rPr>
        <w:t>6 施工现场其他区域宜配备AI智能监控系统。</w:t>
      </w:r>
    </w:p>
    <w:p w14:paraId="315907F2">
      <w:pPr>
        <w:pStyle w:val="90"/>
      </w:pPr>
      <w:r>
        <w:rPr>
          <w:rFonts w:hint="eastAsia"/>
        </w:rPr>
        <w:t>7 AI分析视频数据应上传至项目、企业、行业平台。</w:t>
      </w:r>
    </w:p>
    <w:p w14:paraId="3F929007">
      <w:pPr>
        <w:pStyle w:val="88"/>
      </w:pPr>
      <w:r>
        <w:t>5</w:t>
      </w:r>
      <w:r>
        <w:rPr>
          <w:rFonts w:hint="eastAsia"/>
        </w:rPr>
        <w:t>.2.4 基坑监测</w:t>
      </w:r>
    </w:p>
    <w:p w14:paraId="74AC3076">
      <w:pPr>
        <w:pStyle w:val="90"/>
      </w:pPr>
      <w:r>
        <w:rPr>
          <w:rFonts w:hint="eastAsia"/>
        </w:rPr>
        <w:t>1 简易控制方式</w:t>
      </w:r>
    </w:p>
    <w:p w14:paraId="0CCC097E">
      <w:pPr>
        <w:pStyle w:val="90"/>
      </w:pPr>
      <w:r>
        <w:rPr>
          <w:rFonts w:hint="eastAsia"/>
        </w:rPr>
        <w:t>（1）将第三方专业监测机构监测结果录入项目平台，宜上传至企业平台。</w:t>
      </w:r>
    </w:p>
    <w:p w14:paraId="0A94EC89">
      <w:pPr>
        <w:pStyle w:val="90"/>
      </w:pPr>
      <w:r>
        <w:rPr>
          <w:rFonts w:hint="eastAsia"/>
        </w:rPr>
        <w:t xml:space="preserve">2 物联网方式 </w:t>
      </w:r>
    </w:p>
    <w:p w14:paraId="0E42FB5F">
      <w:pPr>
        <w:pStyle w:val="90"/>
      </w:pPr>
      <w:r>
        <w:rPr>
          <w:rFonts w:hint="eastAsia"/>
        </w:rPr>
        <w:t>（1）施工现场超过一定规模的基坑工程，应结合基坑监测方案设置实时监测点设备，覆盖整个基坑监测周期并稳定上传数据；</w:t>
      </w:r>
    </w:p>
    <w:p w14:paraId="3AB21672">
      <w:pPr>
        <w:pStyle w:val="90"/>
      </w:pPr>
      <w:r>
        <w:rPr>
          <w:rFonts w:hint="eastAsia"/>
        </w:rPr>
        <w:t>（2）深基坑监测综合利用不同的传输方式，实现多种现场监测仪器、检测设备、无线传感器数据的自动采集和实时传输；</w:t>
      </w:r>
    </w:p>
    <w:p w14:paraId="5D13F053">
      <w:pPr>
        <w:pStyle w:val="90"/>
      </w:pPr>
      <w:r>
        <w:rPr>
          <w:rFonts w:hint="eastAsia"/>
        </w:rPr>
        <w:t>（3）应实现混凝土支撑应力、锚索轴力、深层水平位移、基坑周边水平位移、基坑周边沉降、周边建筑位移、地下水位、钢支撑轴力等实时监测；宜实现立柱位移、周边建筑倾斜、周边建筑物裂缝、周边地表裂缝、周边地表位移、结构应力应变、周边管线竖向位移等实时监测；</w:t>
      </w:r>
    </w:p>
    <w:p w14:paraId="60F782FB">
      <w:pPr>
        <w:pStyle w:val="90"/>
      </w:pPr>
      <w:r>
        <w:rPr>
          <w:rFonts w:hint="eastAsia"/>
        </w:rPr>
        <w:t>（4）应实现对原始监测数据的实时处理、统计和分析，形成各类变化曲线和图形、图表，能够对异常数据进行预警，并联动现场声光报警，同时将报警信息上传项目、企业、行业平台；</w:t>
      </w:r>
    </w:p>
    <w:p w14:paraId="1268C76E">
      <w:pPr>
        <w:pStyle w:val="90"/>
      </w:pPr>
      <w:r>
        <w:rPr>
          <w:rFonts w:hint="eastAsia"/>
        </w:rPr>
        <w:t>（5）报警信息应包括报警日期、被监测部位、报警内容、报警类型、监测单位、监测人；</w:t>
      </w:r>
    </w:p>
    <w:p w14:paraId="58B77E2F">
      <w:pPr>
        <w:pStyle w:val="90"/>
      </w:pPr>
      <w:r>
        <w:rPr>
          <w:rFonts w:hint="eastAsia"/>
        </w:rPr>
        <w:t>（6）发现异常报警现场管理人员应及时采取干预措施，实现闭环管理。</w:t>
      </w:r>
    </w:p>
    <w:p w14:paraId="1270A5E5">
      <w:pPr>
        <w:pStyle w:val="88"/>
      </w:pPr>
      <w:r>
        <w:t>5</w:t>
      </w:r>
      <w:r>
        <w:rPr>
          <w:rFonts w:hint="eastAsia"/>
        </w:rPr>
        <w:t>.2.5 塔机监测</w:t>
      </w:r>
    </w:p>
    <w:p w14:paraId="06990D59">
      <w:pPr>
        <w:pStyle w:val="90"/>
      </w:pPr>
      <w:r>
        <w:rPr>
          <w:rFonts w:hint="eastAsia"/>
        </w:rPr>
        <w:t>1 现场所有塔机均应安装塔机安全监测设备，安装塔机安全监测设备应包含现场感应装置、现场报警装置和远程报警装置。安全监测设备应具有开机自检功能，安装位置便于观看，且不应影响司机视野及正常操作。塔机安全监测设备安装不得损伤塔机受力结构、不得改变原有安全装置及电气控制系统的功能和性能。机械设备监管设备的部署不应影响机械设备原有的人员工作空间，并应满足工程消防验收要求。</w:t>
      </w:r>
    </w:p>
    <w:p w14:paraId="38A1C9ED">
      <w:pPr>
        <w:pStyle w:val="90"/>
      </w:pPr>
      <w:r>
        <w:rPr>
          <w:rFonts w:hint="eastAsia"/>
        </w:rPr>
        <w:t>2 应实现对塔机设备、人员、运行状态、工作循环数据、安装、顶升、拆除、维修保养等信息管理。</w:t>
      </w:r>
    </w:p>
    <w:p w14:paraId="31CC6496">
      <w:pPr>
        <w:pStyle w:val="90"/>
      </w:pPr>
      <w:r>
        <w:rPr>
          <w:rFonts w:hint="eastAsia"/>
        </w:rPr>
        <w:t>（1）塔机基础信息应包括设备编号、规格、型号、生产厂家、最大起重量、最大起重力矩、机械设备备案证明、进场日期、拆除日期、退场日期等，并实现对其进行创建、查询和维护等功能；</w:t>
      </w:r>
    </w:p>
    <w:p w14:paraId="093BA005">
      <w:pPr>
        <w:pStyle w:val="90"/>
      </w:pPr>
      <w:r>
        <w:rPr>
          <w:rFonts w:hint="eastAsia"/>
        </w:rPr>
        <w:t>（2）人员信息应包括安装、操作、维保、拆除单位及人员；</w:t>
      </w:r>
    </w:p>
    <w:p w14:paraId="4F7684E8">
      <w:pPr>
        <w:pStyle w:val="90"/>
      </w:pPr>
      <w:r>
        <w:rPr>
          <w:rFonts w:hint="eastAsia"/>
        </w:rPr>
        <w:t>（3）运行状态应包括在线、离线；</w:t>
      </w:r>
    </w:p>
    <w:p w14:paraId="10D58EC0">
      <w:pPr>
        <w:pStyle w:val="90"/>
      </w:pPr>
      <w:r>
        <w:rPr>
          <w:rFonts w:hint="eastAsia"/>
        </w:rPr>
        <w:t>（4）塔机工作循环数据包括开始时间、结束时间、最小高度、最大高度、最小幅度、最大幅度、吊物重量、最大力矩、运行时长、高度预警、幅度预警、回转预警、力矩预警、重量预警、正向倾角预警、侧向倾角预警、区域保护预警、碰撞预警、高度报警、幅度报警、回转报警、力矩报警、重量报警、正向倾角报警、侧向倾角报警、区域保护报警、碰撞报警、最大力矩百分比、司机身份证号、系统实时抓拍司机照片、是否超载、超载报警时长、超载抓拍照片；</w:t>
      </w:r>
    </w:p>
    <w:p w14:paraId="6BD226C0">
      <w:pPr>
        <w:pStyle w:val="90"/>
      </w:pPr>
      <w:r>
        <w:rPr>
          <w:rFonts w:hint="eastAsia"/>
        </w:rPr>
        <w:t>（5）</w:t>
      </w:r>
      <w:r>
        <w:t xml:space="preserve"> </w:t>
      </w:r>
      <w:r>
        <w:rPr>
          <w:rFonts w:hint="eastAsia"/>
        </w:rPr>
        <w:t>设备维修保养管理应具有维保计划的制订、维保任务下发和保养结果记录等功能。</w:t>
      </w:r>
    </w:p>
    <w:p w14:paraId="78258D21">
      <w:pPr>
        <w:pStyle w:val="90"/>
      </w:pPr>
      <w:r>
        <w:rPr>
          <w:rFonts w:hint="eastAsia"/>
        </w:rPr>
        <w:t>（6）维修保养信息应包括设备编号、维保类型、维保内容、维保时间及人员信息。</w:t>
      </w:r>
    </w:p>
    <w:p w14:paraId="53A43515">
      <w:pPr>
        <w:pStyle w:val="90"/>
      </w:pPr>
      <w:r>
        <w:rPr>
          <w:rFonts w:hint="eastAsia"/>
        </w:rPr>
        <w:t>（7）应具有提供检查、巡检、维保、旁站信息记录与定位打卡功能，当进行设备过程管理时，应能实现定位信息采集，确保人员到位。</w:t>
      </w:r>
    </w:p>
    <w:p w14:paraId="5D95377A">
      <w:pPr>
        <w:pStyle w:val="90"/>
      </w:pPr>
      <w:r>
        <w:rPr>
          <w:rFonts w:hint="eastAsia"/>
        </w:rPr>
        <w:t>（8）应提供维保检查任务管理、作业明细及示例教程，辅助维保操作人员及管理人员直观了解维保检查情况。</w:t>
      </w:r>
    </w:p>
    <w:p w14:paraId="407E1CC9">
      <w:pPr>
        <w:pStyle w:val="90"/>
      </w:pPr>
      <w:r>
        <w:rPr>
          <w:rFonts w:hint="eastAsia"/>
        </w:rPr>
        <w:t>3 应用人脸识别技术对塔机操作人员进行有效管理，实现司机身份识别认证，认证失败禁止启动。在塔机正常运行过程中不定时进行司机人脸抓拍、身份识别，认证失败禁止启动并保留相应数据信息。</w:t>
      </w:r>
    </w:p>
    <w:p w14:paraId="41232037">
      <w:pPr>
        <w:pStyle w:val="90"/>
      </w:pPr>
      <w:r>
        <w:rPr>
          <w:rFonts w:hint="eastAsia"/>
        </w:rPr>
        <w:t>4 司机身份识别认证设备宜与实名制系统打通，可远程下发符合要求的塔式起重机司机信息。</w:t>
      </w:r>
    </w:p>
    <w:p w14:paraId="7B97A59C">
      <w:pPr>
        <w:pStyle w:val="90"/>
      </w:pPr>
      <w:r>
        <w:rPr>
          <w:rFonts w:hint="eastAsia"/>
        </w:rPr>
        <w:t>5 司机身份识别认证设备宜实现行为监测，对抽烟、玩手机、疲劳驾驶等司机违规行为自动抓拍、影像留存、自动报警和信息推送，实时数据以及报警数据应保存在本地设备不少于3</w:t>
      </w:r>
      <w:r>
        <w:t>0</w:t>
      </w:r>
      <w:r>
        <w:rPr>
          <w:rFonts w:hint="eastAsia"/>
        </w:rPr>
        <w:t>天。</w:t>
      </w:r>
    </w:p>
    <w:p w14:paraId="03B94464">
      <w:pPr>
        <w:pStyle w:val="90"/>
      </w:pPr>
      <w:r>
        <w:rPr>
          <w:rFonts w:hint="eastAsia"/>
        </w:rPr>
        <w:t>6 塔机安全监测设备监控主机应实现不少于6位的密码保护，由设备管理人员进行系统参数的录入和更改。对非授权人员操作塔机行为进行记录，并即时上传项目、企业、行业平台。</w:t>
      </w:r>
    </w:p>
    <w:p w14:paraId="75816766">
      <w:pPr>
        <w:pStyle w:val="90"/>
      </w:pPr>
      <w:r>
        <w:rPr>
          <w:rFonts w:hint="eastAsia"/>
        </w:rPr>
        <w:t>7 应具有控制吊钩避让固定障碍物单机区域限制功能，可设定限制区域不少于 5 个，根据需求设备宜满足主动控制功能，预警时减速、报警时制动。</w:t>
      </w:r>
    </w:p>
    <w:p w14:paraId="0068A14E">
      <w:pPr>
        <w:pStyle w:val="90"/>
      </w:pPr>
      <w:r>
        <w:rPr>
          <w:rFonts w:hint="eastAsia"/>
        </w:rPr>
        <w:t>8 对存在碰撞风险的多个塔机应采用防碰撞技术，使用不同颜色、色块等显示塔机的不同状态及保护区状态。当超出阈值时，应现场报警和远程报警，根据需求设备宜满足主动控制功能，预警时减速、报警时制动。</w:t>
      </w:r>
    </w:p>
    <w:p w14:paraId="4900DA84">
      <w:pPr>
        <w:pStyle w:val="90"/>
      </w:pPr>
      <w:r>
        <w:rPr>
          <w:rFonts w:hint="eastAsia"/>
        </w:rPr>
        <w:t>9 通过传感器等设备实时监测塔机运行状态，自动分析运行数据，记录预警、报警、违规信息，并即时上传项目、企业、行业平台，实时数据以及报警数据应保存在本地设备不少于3</w:t>
      </w:r>
      <w:r>
        <w:t>0</w:t>
      </w:r>
      <w:r>
        <w:rPr>
          <w:rFonts w:hint="eastAsia"/>
        </w:rPr>
        <w:t>天。</w:t>
      </w:r>
    </w:p>
    <w:p w14:paraId="40CBE819">
      <w:pPr>
        <w:pStyle w:val="90"/>
      </w:pPr>
      <w:r>
        <w:rPr>
          <w:rFonts w:hint="eastAsia"/>
        </w:rPr>
        <w:t>（1）当出现下列情况之一时应在驾驶室及监控中心等相关位置进行声光报警：</w:t>
      </w:r>
    </w:p>
    <w:p w14:paraId="6993EFC1">
      <w:pPr>
        <w:pStyle w:val="90"/>
      </w:pPr>
      <w:r>
        <w:rPr>
          <w:rFonts w:hint="eastAsia"/>
        </w:rPr>
        <w:t>1）小车幅度超限；</w:t>
      </w:r>
    </w:p>
    <w:p w14:paraId="6B61B5CC">
      <w:pPr>
        <w:pStyle w:val="90"/>
      </w:pPr>
      <w:r>
        <w:rPr>
          <w:rFonts w:hint="eastAsia"/>
        </w:rPr>
        <w:t>2）吊钩高度超限；</w:t>
      </w:r>
    </w:p>
    <w:p w14:paraId="1E884886">
      <w:pPr>
        <w:pStyle w:val="90"/>
      </w:pPr>
      <w:r>
        <w:rPr>
          <w:rFonts w:hint="eastAsia"/>
        </w:rPr>
        <w:t>3）回转角度超限；</w:t>
      </w:r>
    </w:p>
    <w:p w14:paraId="6D53086E">
      <w:pPr>
        <w:pStyle w:val="90"/>
      </w:pPr>
      <w:r>
        <w:rPr>
          <w:rFonts w:hint="eastAsia"/>
        </w:rPr>
        <w:t>4）超载超力矩；</w:t>
      </w:r>
    </w:p>
    <w:p w14:paraId="2577564E">
      <w:pPr>
        <w:pStyle w:val="90"/>
      </w:pPr>
      <w:r>
        <w:rPr>
          <w:rFonts w:hint="eastAsia"/>
        </w:rPr>
        <w:t>5）风速超限；</w:t>
      </w:r>
    </w:p>
    <w:p w14:paraId="6E36A901">
      <w:pPr>
        <w:pStyle w:val="90"/>
      </w:pPr>
      <w:r>
        <w:rPr>
          <w:rFonts w:hint="eastAsia"/>
        </w:rPr>
        <w:t>6）倾角超限；</w:t>
      </w:r>
    </w:p>
    <w:p w14:paraId="41FE6DD2">
      <w:pPr>
        <w:pStyle w:val="90"/>
      </w:pPr>
      <w:r>
        <w:rPr>
          <w:rFonts w:hint="eastAsia"/>
        </w:rPr>
        <w:t>7）群塔风险作业；</w:t>
      </w:r>
    </w:p>
    <w:p w14:paraId="58C7DED7">
      <w:pPr>
        <w:pStyle w:val="90"/>
      </w:pPr>
      <w:r>
        <w:rPr>
          <w:rFonts w:hint="eastAsia"/>
        </w:rPr>
        <w:t>8）塔机在监控系统离线时作业；</w:t>
      </w:r>
    </w:p>
    <w:p w14:paraId="06BCB7E0">
      <w:pPr>
        <w:pStyle w:val="90"/>
      </w:pPr>
      <w:r>
        <w:rPr>
          <w:rFonts w:hint="eastAsia"/>
        </w:rPr>
        <w:t>（2）报警信息应包括标段设备号、设备类型、操作人员、时间、报警级别（一般预警、严重警告、紧急）、报警类别（预警、报警、违规）、预警内容。</w:t>
      </w:r>
    </w:p>
    <w:p w14:paraId="10E6B0B8">
      <w:pPr>
        <w:pStyle w:val="90"/>
      </w:pPr>
      <w:r>
        <w:rPr>
          <w:rFonts w:hint="eastAsia"/>
        </w:rPr>
        <w:t>（3）应具有群塔作业报警回放功能，以模拟动画回放或真实影像回放的形式，查看塔式起重机报警情况。</w:t>
      </w:r>
    </w:p>
    <w:p w14:paraId="7D1639FD">
      <w:pPr>
        <w:pStyle w:val="90"/>
      </w:pPr>
      <w:r>
        <w:rPr>
          <w:rFonts w:hint="eastAsia"/>
        </w:rPr>
        <w:t>（4）应具有报警数据分析功能，将群塔报警数据进行统计分析并给出结论及管理建议，辅助管理人员对塔司的管理。</w:t>
      </w:r>
    </w:p>
    <w:p w14:paraId="58BB931F">
      <w:pPr>
        <w:pStyle w:val="90"/>
      </w:pPr>
      <w:r>
        <w:rPr>
          <w:rFonts w:hint="eastAsia"/>
        </w:rPr>
        <w:t>10 实时运行数据应可以远程查看，保存项目历史生产数据，并能进行施工工效分析。</w:t>
      </w:r>
    </w:p>
    <w:p w14:paraId="2F0801FA">
      <w:pPr>
        <w:pStyle w:val="90"/>
      </w:pPr>
      <w:r>
        <w:rPr>
          <w:rFonts w:hint="eastAsia"/>
        </w:rPr>
        <w:t>11 宜按时间段对人员、运行状态、使用时间、频次、利用率、报警、维修保养等信息进行统计分析。</w:t>
      </w:r>
    </w:p>
    <w:p w14:paraId="61409502">
      <w:pPr>
        <w:pStyle w:val="90"/>
      </w:pPr>
      <w:r>
        <w:rPr>
          <w:rFonts w:hint="eastAsia"/>
        </w:rPr>
        <w:t>12 宜实现数据精准追溯，实现三维轨迹、视频和设备端或照片联动查看，便于问题还原与分析。</w:t>
      </w:r>
    </w:p>
    <w:p w14:paraId="05A1489E">
      <w:pPr>
        <w:pStyle w:val="90"/>
      </w:pPr>
      <w:r>
        <w:rPr>
          <w:rFonts w:hint="eastAsia"/>
        </w:rPr>
        <w:t>13 塔机应符合《建筑塔式起重机安全监控系统应用技术规程》JGJ 332、《塔式起重机》GB/T 5031 相关要求。</w:t>
      </w:r>
    </w:p>
    <w:p w14:paraId="176B958A">
      <w:pPr>
        <w:pStyle w:val="90"/>
      </w:pPr>
      <w:r>
        <w:rPr>
          <w:rFonts w:hint="eastAsia"/>
        </w:rPr>
        <w:t>14 塔机数据可采用本地和云端存储，存储时间、安全监测相关设备应符合现行国家标准《起重机械安全监控管理系统》GB/T 28264 和行业标准《建筑塔式起重机安全监控系统应用技术规程》JGJ</w:t>
      </w:r>
      <w:r>
        <w:t xml:space="preserve"> </w:t>
      </w:r>
      <w:r>
        <w:rPr>
          <w:rFonts w:hint="eastAsia"/>
        </w:rPr>
        <w:t>332 的规定。</w:t>
      </w:r>
    </w:p>
    <w:p w14:paraId="15549532">
      <w:pPr>
        <w:pStyle w:val="90"/>
      </w:pPr>
      <w:r>
        <w:rPr>
          <w:rFonts w:hint="eastAsia"/>
        </w:rPr>
        <w:t>15 项目平台应可对每个塔机进行查看，内容应包括基本信息、安装位置、授权操作人员、当前运行状态、预警报警信息历史数据、运行数据分析等，企业、行业平台可远程调取查看。</w:t>
      </w:r>
    </w:p>
    <w:p w14:paraId="68EC4C45">
      <w:pPr>
        <w:pStyle w:val="90"/>
      </w:pPr>
      <w:r>
        <w:rPr>
          <w:rFonts w:hint="eastAsia"/>
        </w:rPr>
        <w:t>16.应具有塔机运行报告生成功能，能够生成一段时间内的塔机运行数据，应包括报警、违章数据及工作时长等。</w:t>
      </w:r>
    </w:p>
    <w:p w14:paraId="4C36DA3E">
      <w:pPr>
        <w:pStyle w:val="88"/>
      </w:pPr>
      <w:r>
        <w:t>5</w:t>
      </w:r>
      <w:r>
        <w:rPr>
          <w:rFonts w:hint="eastAsia"/>
        </w:rPr>
        <w:t>.2.6 吊钩盲区可视化</w:t>
      </w:r>
    </w:p>
    <w:p w14:paraId="6F5F5AEE">
      <w:pPr>
        <w:pStyle w:val="90"/>
      </w:pPr>
      <w:r>
        <w:rPr>
          <w:rFonts w:hint="eastAsia"/>
        </w:rPr>
        <w:t>1 现场所有塔机均应安装吊钩盲区可视化设备，实现对吊钩位置、吊钩盲区的可视化。</w:t>
      </w:r>
    </w:p>
    <w:p w14:paraId="38305792">
      <w:pPr>
        <w:pStyle w:val="90"/>
      </w:pPr>
      <w:r>
        <w:rPr>
          <w:rFonts w:hint="eastAsia"/>
        </w:rPr>
        <w:t>2 吊钩盲区可视化宜与视频监控相结合，包含实时显示、视频控制、录像回放、设备管理、权限管理等功能。可视化设备应实现全自动变倍变焦。</w:t>
      </w:r>
    </w:p>
    <w:p w14:paraId="319C404D">
      <w:pPr>
        <w:pStyle w:val="90"/>
      </w:pPr>
      <w:r>
        <w:rPr>
          <w:rFonts w:hint="eastAsia"/>
        </w:rPr>
        <w:t>3 可视化监控摄像机应符合现场使用要求，高清显示屏安装于塔机驾驶室，便于塔机司机观看，且不应影响司机视野及正常操作。</w:t>
      </w:r>
    </w:p>
    <w:p w14:paraId="525B8FA8">
      <w:pPr>
        <w:pStyle w:val="90"/>
      </w:pPr>
      <w:r>
        <w:rPr>
          <w:rFonts w:hint="eastAsia"/>
        </w:rPr>
        <w:t>4 吊钩盲区可视化视频应支持驾驶室本地、项目平台、移动端、企业平台、行业平台浏览。</w:t>
      </w:r>
    </w:p>
    <w:p w14:paraId="1DA2F707">
      <w:pPr>
        <w:pStyle w:val="90"/>
      </w:pPr>
      <w:r>
        <w:rPr>
          <w:rFonts w:hint="eastAsia"/>
        </w:rPr>
        <w:t>5 可视化视频数据本地存储不少于30日。</w:t>
      </w:r>
    </w:p>
    <w:p w14:paraId="0FEB769A">
      <w:pPr>
        <w:pStyle w:val="88"/>
      </w:pPr>
      <w:r>
        <w:t>5</w:t>
      </w:r>
      <w:r>
        <w:rPr>
          <w:rFonts w:hint="eastAsia"/>
        </w:rPr>
        <w:t>.2.7 施工升降机监测</w:t>
      </w:r>
    </w:p>
    <w:p w14:paraId="5731A81E">
      <w:pPr>
        <w:pStyle w:val="90"/>
      </w:pPr>
      <w:r>
        <w:rPr>
          <w:rFonts w:hint="eastAsia"/>
        </w:rPr>
        <w:t>1 现场所有施工升降电梯均应安装安全监测设备，安全监测设备应具有开机自检功能，安装位置便于观看，且不应影响司机视野及正常操作。</w:t>
      </w:r>
    </w:p>
    <w:p w14:paraId="270B6D41">
      <w:pPr>
        <w:pStyle w:val="90"/>
      </w:pPr>
      <w:r>
        <w:rPr>
          <w:rFonts w:hint="eastAsia"/>
        </w:rPr>
        <w:t>2 驾驶室应安装司机身份识别系统，实现司机身份识别认证，认证失败禁止启动。在正常运行过程中不定时进行司机人脸抓拍、身份识别，认证失败禁止启动并保留相应数据信息。</w:t>
      </w:r>
    </w:p>
    <w:p w14:paraId="7C6B0EBB">
      <w:pPr>
        <w:pStyle w:val="90"/>
      </w:pPr>
      <w:r>
        <w:rPr>
          <w:rFonts w:hint="eastAsia"/>
        </w:rPr>
        <w:t>3 应实现对施工升降电梯、人员、运行状态、工作循环数据、维修保养等信息进行管理。</w:t>
      </w:r>
    </w:p>
    <w:p w14:paraId="32211E03">
      <w:pPr>
        <w:pStyle w:val="90"/>
      </w:pPr>
      <w:r>
        <w:rPr>
          <w:rFonts w:hint="eastAsia"/>
        </w:rPr>
        <w:t>（1）电梯基本信息应包括设备编号、规格、型号、生产厂家、安装单位、操作单位、维保单位、拆除单位、机械设备备案证明、进场日期、拆除日期、退场日期及历史使用信息等；</w:t>
      </w:r>
    </w:p>
    <w:p w14:paraId="3B891927">
      <w:pPr>
        <w:pStyle w:val="90"/>
        <w:rPr>
          <w:color w:val="auto"/>
        </w:rPr>
      </w:pPr>
      <w:r>
        <w:rPr>
          <w:rFonts w:hint="eastAsia"/>
        </w:rPr>
        <w:t>（2）人员信息应包括姓名、性别、身份证</w:t>
      </w:r>
      <w:r>
        <w:rPr>
          <w:rFonts w:hint="eastAsia"/>
          <w:color w:val="auto"/>
        </w:rPr>
        <w:t>号、特种资</w:t>
      </w:r>
      <w:r>
        <w:rPr>
          <w:rFonts w:hint="eastAsia"/>
          <w:color w:val="auto"/>
          <w:lang w:val="en-US" w:eastAsia="zh-CN"/>
        </w:rPr>
        <w:t>资格</w:t>
      </w:r>
      <w:r>
        <w:rPr>
          <w:rFonts w:hint="eastAsia"/>
          <w:color w:val="auto"/>
        </w:rPr>
        <w:t>证书编号；</w:t>
      </w:r>
    </w:p>
    <w:p w14:paraId="1596D2A0">
      <w:pPr>
        <w:pStyle w:val="90"/>
      </w:pPr>
      <w:r>
        <w:rPr>
          <w:rFonts w:hint="eastAsia"/>
          <w:color w:val="auto"/>
        </w:rPr>
        <w:t>（3）运行状态信息应包括载重、</w:t>
      </w:r>
      <w:r>
        <w:rPr>
          <w:rFonts w:hint="eastAsia"/>
          <w:color w:val="auto"/>
          <w:lang w:val="en-US" w:eastAsia="zh-CN"/>
        </w:rPr>
        <w:t>风速</w:t>
      </w:r>
      <w:r>
        <w:rPr>
          <w:rFonts w:hint="eastAsia"/>
          <w:color w:val="auto"/>
        </w:rPr>
        <w:t>、轿厢倾斜度、起升高度、</w:t>
      </w:r>
      <w:r>
        <w:rPr>
          <w:rFonts w:hint="eastAsia"/>
        </w:rPr>
        <w:t>运行速度等；</w:t>
      </w:r>
    </w:p>
    <w:p w14:paraId="561AF55A">
      <w:pPr>
        <w:pStyle w:val="90"/>
      </w:pPr>
      <w:r>
        <w:rPr>
          <w:rFonts w:hint="eastAsia"/>
        </w:rPr>
        <w:t>（</w:t>
      </w:r>
      <w:r>
        <w:t>4</w:t>
      </w:r>
      <w:r>
        <w:rPr>
          <w:rFonts w:hint="eastAsia"/>
        </w:rPr>
        <w:t>）电梯工作循环数据应包括工作循环数据的统计，数据应包括工作循环开始时间、工作循环结束时间、驾驶员信息、本次载重、起点高度、终点高度、最大X向倾斜度、最大Y向倾斜度、违章状态（正常、违章）、乘载人数和该工作循环对应的轿厢照片等。</w:t>
      </w:r>
    </w:p>
    <w:p w14:paraId="6343647F">
      <w:pPr>
        <w:pStyle w:val="90"/>
      </w:pPr>
      <w:r>
        <w:rPr>
          <w:rFonts w:hint="eastAsia"/>
        </w:rPr>
        <w:t>（</w:t>
      </w:r>
      <w:r>
        <w:t>5</w:t>
      </w:r>
      <w:r>
        <w:rPr>
          <w:rFonts w:hint="eastAsia"/>
        </w:rPr>
        <w:t>）维修保养信息应包括设备编号、维保类型、维保内容、维保时间及人员信息。</w:t>
      </w:r>
    </w:p>
    <w:p w14:paraId="2B733E12">
      <w:pPr>
        <w:pStyle w:val="90"/>
      </w:pPr>
      <w:r>
        <w:rPr>
          <w:rFonts w:hint="eastAsia"/>
        </w:rPr>
        <w:t>（6）应具有维保检查任务管理、作业明细及示例教程功能，辅助维保操作人员及管理人员直观了解维保检查情况。</w:t>
      </w:r>
    </w:p>
    <w:p w14:paraId="7F20FB85">
      <w:pPr>
        <w:pStyle w:val="90"/>
      </w:pPr>
      <w:r>
        <w:rPr>
          <w:rFonts w:hint="eastAsia"/>
        </w:rPr>
        <w:t>4 施工升降机吊笼内应配备AI智能监控系统，具有智能识别、自动抓拍、影像留存、自动报警和信息推送等。超过预设上限时，将限制升降机起升，人数合规后，允许起升，实现安全闭环管理。</w:t>
      </w:r>
    </w:p>
    <w:p w14:paraId="2F5E2C5B">
      <w:pPr>
        <w:pStyle w:val="90"/>
      </w:pPr>
      <w:r>
        <w:rPr>
          <w:rFonts w:hint="eastAsia"/>
        </w:rPr>
        <w:t>5 通过传感器等设备实时监测电梯运行状态，自动分析运行数据，记录预警、报警、违规信息，危险情况应禁止运行，并即时上传项目、企业、行业平台。</w:t>
      </w:r>
    </w:p>
    <w:p w14:paraId="4AD86F75">
      <w:pPr>
        <w:pStyle w:val="90"/>
      </w:pPr>
      <w:r>
        <w:rPr>
          <w:rFonts w:hint="eastAsia"/>
        </w:rPr>
        <w:t>（1）当出现下列情况之一时应进行声光报警：</w:t>
      </w:r>
    </w:p>
    <w:p w14:paraId="6C38B185">
      <w:pPr>
        <w:pStyle w:val="90"/>
      </w:pPr>
      <w:r>
        <w:rPr>
          <w:rFonts w:hint="eastAsia"/>
        </w:rPr>
        <w:t>1）超载；</w:t>
      </w:r>
    </w:p>
    <w:p w14:paraId="55FF293C">
      <w:pPr>
        <w:pStyle w:val="90"/>
      </w:pPr>
      <w:r>
        <w:rPr>
          <w:rFonts w:hint="eastAsia"/>
        </w:rPr>
        <w:t>2）高度超限；</w:t>
      </w:r>
    </w:p>
    <w:p w14:paraId="38DDCE9F">
      <w:pPr>
        <w:pStyle w:val="90"/>
      </w:pPr>
      <w:r>
        <w:rPr>
          <w:rFonts w:hint="eastAsia"/>
        </w:rPr>
        <w:t>3）运行速度超限；</w:t>
      </w:r>
    </w:p>
    <w:p w14:paraId="304C6BDA">
      <w:pPr>
        <w:pStyle w:val="90"/>
      </w:pPr>
      <w:r>
        <w:rPr>
          <w:rFonts w:hint="eastAsia"/>
        </w:rPr>
        <w:t>（2）当出现下列情况之一时宜进行声光报警：</w:t>
      </w:r>
    </w:p>
    <w:p w14:paraId="7ED2459C">
      <w:pPr>
        <w:pStyle w:val="90"/>
      </w:pPr>
      <w:r>
        <w:rPr>
          <w:rFonts w:hint="eastAsia"/>
        </w:rPr>
        <w:t>1）轿厢倾斜度超限；</w:t>
      </w:r>
    </w:p>
    <w:p w14:paraId="63C57372">
      <w:pPr>
        <w:pStyle w:val="90"/>
      </w:pPr>
      <w:r>
        <w:rPr>
          <w:rFonts w:hint="eastAsia"/>
        </w:rPr>
        <w:t>2）门锁开关异常；</w:t>
      </w:r>
    </w:p>
    <w:p w14:paraId="28EACD55">
      <w:pPr>
        <w:pStyle w:val="90"/>
      </w:pPr>
      <w:r>
        <w:rPr>
          <w:rFonts w:hint="eastAsia"/>
        </w:rPr>
        <w:t>3）制动异常；</w:t>
      </w:r>
    </w:p>
    <w:p w14:paraId="52D40574">
      <w:pPr>
        <w:pStyle w:val="90"/>
      </w:pPr>
      <w:r>
        <w:rPr>
          <w:rFonts w:hint="eastAsia"/>
        </w:rPr>
        <w:t>4）楼层防护门开启状态下启动运行；</w:t>
      </w:r>
    </w:p>
    <w:p w14:paraId="2AE2093C">
      <w:pPr>
        <w:pStyle w:val="90"/>
      </w:pPr>
      <w:r>
        <w:rPr>
          <w:rFonts w:hint="eastAsia"/>
        </w:rPr>
        <w:t>5）轿厢门开启状态下启动运行；</w:t>
      </w:r>
    </w:p>
    <w:p w14:paraId="3C891152">
      <w:pPr>
        <w:pStyle w:val="90"/>
      </w:pPr>
      <w:r>
        <w:rPr>
          <w:rFonts w:hint="eastAsia"/>
        </w:rPr>
        <w:t>（3）当出现下列情况之一时应禁止启动升降机，并进行声光报警：</w:t>
      </w:r>
    </w:p>
    <w:p w14:paraId="716A5E6A">
      <w:pPr>
        <w:pStyle w:val="90"/>
      </w:pPr>
      <w:r>
        <w:rPr>
          <w:rFonts w:hint="eastAsia"/>
        </w:rPr>
        <w:t>1）非授权驾驶员驾驶；</w:t>
      </w:r>
    </w:p>
    <w:p w14:paraId="18B4EA5E">
      <w:pPr>
        <w:pStyle w:val="90"/>
      </w:pPr>
      <w:r>
        <w:rPr>
          <w:rFonts w:hint="eastAsia"/>
        </w:rPr>
        <w:t>2）超载；</w:t>
      </w:r>
    </w:p>
    <w:p w14:paraId="6F8FD450">
      <w:pPr>
        <w:pStyle w:val="90"/>
      </w:pPr>
      <w:r>
        <w:rPr>
          <w:rFonts w:hint="eastAsia"/>
        </w:rPr>
        <w:t>3）人数超限；</w:t>
      </w:r>
    </w:p>
    <w:p w14:paraId="7BD0FBCB">
      <w:pPr>
        <w:pStyle w:val="90"/>
      </w:pPr>
      <w:r>
        <w:rPr>
          <w:rFonts w:hint="eastAsia"/>
        </w:rPr>
        <w:t>4）轿厢门开启状态下启动运行；</w:t>
      </w:r>
    </w:p>
    <w:p w14:paraId="1B5888F8">
      <w:pPr>
        <w:pStyle w:val="90"/>
      </w:pPr>
      <w:r>
        <w:rPr>
          <w:rFonts w:hint="eastAsia"/>
        </w:rPr>
        <w:t>5）高度超限；</w:t>
      </w:r>
    </w:p>
    <w:p w14:paraId="2E8B4D10">
      <w:pPr>
        <w:pStyle w:val="90"/>
      </w:pPr>
      <w:r>
        <w:rPr>
          <w:rFonts w:hint="eastAsia"/>
        </w:rPr>
        <w:t>6）风速超限；</w:t>
      </w:r>
    </w:p>
    <w:p w14:paraId="311836C8">
      <w:pPr>
        <w:pStyle w:val="90"/>
      </w:pPr>
      <w:r>
        <w:rPr>
          <w:rFonts w:hint="eastAsia"/>
        </w:rPr>
        <w:t>（4）当出现下列情况之一时宜进行提醒：司机工作状态抽烟、玩手机、疲劳驾驶</w:t>
      </w:r>
      <w:r>
        <w:rPr>
          <w:rFonts w:hint="eastAsia"/>
          <w:lang w:val="en-US" w:eastAsia="zh-CN"/>
        </w:rPr>
        <w:t>等</w:t>
      </w:r>
      <w:r>
        <w:rPr>
          <w:rFonts w:hint="eastAsia"/>
        </w:rPr>
        <w:t>；</w:t>
      </w:r>
    </w:p>
    <w:p w14:paraId="08FA5394">
      <w:pPr>
        <w:pStyle w:val="90"/>
      </w:pPr>
      <w:r>
        <w:rPr>
          <w:rFonts w:hint="eastAsia"/>
        </w:rPr>
        <w:t>（5）报警信息应包括设备号、设备类型、操作人员、时间、报警级别（一般预警、严重警告、紧急）、报警类别（预警、报警、违规）、预警内容；</w:t>
      </w:r>
    </w:p>
    <w:p w14:paraId="0664FBBB">
      <w:pPr>
        <w:pStyle w:val="90"/>
      </w:pPr>
      <w:r>
        <w:rPr>
          <w:rFonts w:hint="eastAsia"/>
        </w:rPr>
        <w:t>（6）报警时应同步对轿厢内人员、物资情况进行拍照留痕。</w:t>
      </w:r>
    </w:p>
    <w:p w14:paraId="6B19F9CA">
      <w:pPr>
        <w:pStyle w:val="90"/>
      </w:pPr>
      <w:r>
        <w:rPr>
          <w:rFonts w:hint="eastAsia"/>
        </w:rPr>
        <w:t>6 实时运行数据应可以远程查看，保存项目历史生产数据，并能进行施工工效分析。</w:t>
      </w:r>
    </w:p>
    <w:p w14:paraId="5E90B7D0">
      <w:pPr>
        <w:pStyle w:val="90"/>
      </w:pPr>
      <w:r>
        <w:rPr>
          <w:rFonts w:hint="eastAsia"/>
        </w:rPr>
        <w:t>7 宜按时间段对人员、运行状态、使用时间、频次、利用率、报警、维修保养等信息进行统计分析。</w:t>
      </w:r>
    </w:p>
    <w:p w14:paraId="70E88319">
      <w:pPr>
        <w:pStyle w:val="90"/>
      </w:pPr>
      <w:r>
        <w:rPr>
          <w:rFonts w:hint="eastAsia"/>
        </w:rPr>
        <w:t>8 宜集成楼层呼叫显示、楼层显示功能，实现楼层呼叫、滚动显示楼层、辅助司机运输、平层等操作，帮助生产提效。</w:t>
      </w:r>
    </w:p>
    <w:p w14:paraId="22FA3C70">
      <w:pPr>
        <w:pStyle w:val="90"/>
      </w:pPr>
      <w:r>
        <w:rPr>
          <w:rFonts w:hint="eastAsia"/>
        </w:rPr>
        <w:t>9 宜实现远程监管，实现远程通话、信息公告、远程锁梯等操作。</w:t>
      </w:r>
    </w:p>
    <w:p w14:paraId="74ED4CF5">
      <w:pPr>
        <w:pStyle w:val="90"/>
      </w:pPr>
      <w:r>
        <w:rPr>
          <w:rFonts w:hint="eastAsia"/>
        </w:rPr>
        <w:t>10 施工升降电梯应符合《施工升降机安全监控系统》GB/T 37537相关要求。</w:t>
      </w:r>
    </w:p>
    <w:p w14:paraId="4EAE3CA7">
      <w:pPr>
        <w:pStyle w:val="90"/>
      </w:pPr>
      <w:r>
        <w:rPr>
          <w:rFonts w:hint="eastAsia"/>
        </w:rPr>
        <w:t>11 施工升降电梯数据可采用本地或云端存储，存储时间、安全监测相关设备应符合现行国家标准《起重机械安全监控管理系统》GB/T 28264相关要求。</w:t>
      </w:r>
    </w:p>
    <w:p w14:paraId="0D59B102">
      <w:pPr>
        <w:pStyle w:val="90"/>
      </w:pPr>
      <w:r>
        <w:rPr>
          <w:rFonts w:hint="eastAsia"/>
        </w:rPr>
        <w:t>12 项目平台应可对每个施工升降电梯进行查询查看，内容应包括基本信息、安装位置、授权操作人员、当前运行状态、预警报警信息历史数据、运行数据分析等，企业、行业平台可远程调取查看。</w:t>
      </w:r>
    </w:p>
    <w:p w14:paraId="44E84124">
      <w:pPr>
        <w:pStyle w:val="88"/>
      </w:pPr>
      <w:r>
        <w:t>5</w:t>
      </w:r>
      <w:r>
        <w:rPr>
          <w:rFonts w:hint="eastAsia"/>
        </w:rPr>
        <w:t>.2.8 螺栓松动监测</w:t>
      </w:r>
    </w:p>
    <w:p w14:paraId="1D17CA63">
      <w:pPr>
        <w:pStyle w:val="90"/>
      </w:pPr>
      <w:r>
        <w:rPr>
          <w:rFonts w:hint="eastAsia"/>
        </w:rPr>
        <w:t>1 在塔式起重机、施工升降电梯关键受力节点螺栓上安装螺栓松动监测传感器，实时监测判定螺栓的紧固状态和松动趋势。</w:t>
      </w:r>
    </w:p>
    <w:p w14:paraId="34BBF64E">
      <w:pPr>
        <w:pStyle w:val="90"/>
      </w:pPr>
      <w:r>
        <w:rPr>
          <w:rFonts w:hint="eastAsia"/>
        </w:rPr>
        <w:t>2 当监测到螺母松动异常状态时声光报警，并将报警信息上传项目、企业、行业平台。</w:t>
      </w:r>
    </w:p>
    <w:p w14:paraId="29E4ECF9">
      <w:pPr>
        <w:pStyle w:val="90"/>
      </w:pPr>
      <w:r>
        <w:rPr>
          <w:rFonts w:hint="eastAsia"/>
        </w:rPr>
        <w:t>3 预警螺栓安装不得替代其它螺栓松动检测方法及相应检查管理措施。</w:t>
      </w:r>
    </w:p>
    <w:p w14:paraId="4E63CFBE">
      <w:pPr>
        <w:pStyle w:val="90"/>
      </w:pPr>
      <w:r>
        <w:rPr>
          <w:rFonts w:hint="eastAsia"/>
        </w:rPr>
        <w:t>4采取措施消除警报后，应及时将处理信息上传项目、企业、行业平台。</w:t>
      </w:r>
    </w:p>
    <w:p w14:paraId="66258A35">
      <w:pPr>
        <w:pStyle w:val="90"/>
      </w:pPr>
      <w:r>
        <w:rPr>
          <w:rFonts w:hint="eastAsia"/>
        </w:rPr>
        <w:t>5 报警及处理信息应包括设备号、螺栓号、报警时间、处理时间、处理人、处理措施、处理后结论、过程照片。</w:t>
      </w:r>
    </w:p>
    <w:p w14:paraId="4933F975">
      <w:pPr>
        <w:pStyle w:val="88"/>
      </w:pPr>
      <w:r>
        <w:t>5</w:t>
      </w:r>
      <w:r>
        <w:rPr>
          <w:rFonts w:hint="eastAsia"/>
        </w:rPr>
        <w:t>.2.9</w:t>
      </w:r>
      <w:r>
        <w:t xml:space="preserve"> </w:t>
      </w:r>
      <w:r>
        <w:rPr>
          <w:rFonts w:hint="eastAsia"/>
        </w:rPr>
        <w:t>支撑脚手架监测</w:t>
      </w:r>
    </w:p>
    <w:p w14:paraId="69F5CE0D">
      <w:pPr>
        <w:pStyle w:val="90"/>
      </w:pPr>
      <w:r>
        <w:rPr>
          <w:rFonts w:hint="eastAsia"/>
        </w:rPr>
        <w:t>1 施工现场超过一定规模的支撑脚手架工程应应用支撑脚手架监测系统。</w:t>
      </w:r>
    </w:p>
    <w:p w14:paraId="15EEACAE">
      <w:pPr>
        <w:pStyle w:val="90"/>
      </w:pPr>
      <w:r>
        <w:rPr>
          <w:rFonts w:hint="eastAsia"/>
        </w:rPr>
        <w:t>2支撑脚手架检测系统应实现实时监测、监测报警和预警，对立杆轴力、杆件倾角、支架整体水平位移、竖向位移等进行监测，发现异常自动报警。</w:t>
      </w:r>
    </w:p>
    <w:p w14:paraId="00634E88">
      <w:pPr>
        <w:pStyle w:val="90"/>
      </w:pPr>
      <w:r>
        <w:t>3</w:t>
      </w:r>
      <w:r>
        <w:rPr>
          <w:rFonts w:hint="eastAsia"/>
        </w:rPr>
        <w:t xml:space="preserve"> 除超过一定规模的危大工程支撑脚手架之外，其他脚手架宜安装监测系统，实现数据监测，发现异常自动报警。</w:t>
      </w:r>
    </w:p>
    <w:p w14:paraId="7CC8572C">
      <w:pPr>
        <w:pStyle w:val="90"/>
      </w:pPr>
      <w:r>
        <w:t>4</w:t>
      </w:r>
      <w:r>
        <w:rPr>
          <w:rFonts w:hint="eastAsia"/>
        </w:rPr>
        <w:t xml:space="preserve"> 当监测数据超过设定指标时应声光报警，并将报警信息推送至管理人员，上传项目、企业、行业平台。</w:t>
      </w:r>
    </w:p>
    <w:p w14:paraId="2CC533CA">
      <w:pPr>
        <w:pStyle w:val="90"/>
      </w:pPr>
      <w:r>
        <w:t>5</w:t>
      </w:r>
      <w:r>
        <w:rPr>
          <w:rFonts w:hint="eastAsia"/>
        </w:rPr>
        <w:t xml:space="preserve"> 相关管理人员接到报警信息后，应立即采取措施消除隐患，必要时停止施工、撤离现场施工人员，形成闭环管理。</w:t>
      </w:r>
    </w:p>
    <w:p w14:paraId="2460978A">
      <w:pPr>
        <w:pStyle w:val="90"/>
      </w:pPr>
      <w:r>
        <w:t>6</w:t>
      </w:r>
      <w:r>
        <w:rPr>
          <w:rFonts w:hint="eastAsia"/>
        </w:rPr>
        <w:t xml:space="preserve"> 混凝土浇筑完成后支撑脚手架监测系统持续监测时间不应低于72小时。</w:t>
      </w:r>
    </w:p>
    <w:p w14:paraId="28A243BA">
      <w:pPr>
        <w:pStyle w:val="90"/>
      </w:pPr>
      <w:r>
        <w:t>7</w:t>
      </w:r>
      <w:r>
        <w:rPr>
          <w:rFonts w:hint="eastAsia"/>
        </w:rPr>
        <w:t xml:space="preserve"> 监测数据应上传至项目、企业、行业平台，宜对上传数据进行分析。</w:t>
      </w:r>
    </w:p>
    <w:p w14:paraId="740D120E">
      <w:pPr>
        <w:pStyle w:val="90"/>
      </w:pPr>
      <w:r>
        <w:t>8</w:t>
      </w:r>
      <w:r>
        <w:rPr>
          <w:rFonts w:hint="eastAsia"/>
        </w:rPr>
        <w:t xml:space="preserve"> 采取措施消除警报后，应及时将处理信息上传项目、企业、行业平台。</w:t>
      </w:r>
    </w:p>
    <w:p w14:paraId="347A9AF9">
      <w:pPr>
        <w:pStyle w:val="90"/>
      </w:pPr>
      <w:r>
        <w:t>9</w:t>
      </w:r>
      <w:r>
        <w:rPr>
          <w:rFonts w:hint="eastAsia"/>
        </w:rPr>
        <w:t xml:space="preserve"> 报警及处理信息应包括监测点号、传感器号、报警时间、报警内容、人员撤离时间、处理人、处理措施、处理后结论、过程照片，警报消除前不得恢复施工。</w:t>
      </w:r>
    </w:p>
    <w:p w14:paraId="5E980DE9">
      <w:pPr>
        <w:pStyle w:val="90"/>
      </w:pPr>
      <w:r>
        <w:t>10</w:t>
      </w:r>
      <w:r>
        <w:rPr>
          <w:rFonts w:hint="eastAsia"/>
        </w:rPr>
        <w:t>支撑脚手架监测的实施和验收应与项目施工方案内容一致。</w:t>
      </w:r>
    </w:p>
    <w:p w14:paraId="0A5A7A1E">
      <w:pPr>
        <w:pStyle w:val="88"/>
      </w:pPr>
      <w:r>
        <w:t>5</w:t>
      </w:r>
      <w:r>
        <w:rPr>
          <w:rFonts w:hint="eastAsia"/>
        </w:rPr>
        <w:t>.2.10 卸料平台监测</w:t>
      </w:r>
    </w:p>
    <w:p w14:paraId="4C0B758A">
      <w:pPr>
        <w:pStyle w:val="90"/>
      </w:pPr>
      <w:r>
        <w:rPr>
          <w:rFonts w:hint="eastAsia"/>
        </w:rPr>
        <w:t>1 施工现场悬挑式卸料平台应安装卸料平台监测系统，实现载物重量、倾斜角度、载重百分比等数据实时监测，发现异常应现场报警和远程报警，其它方式卸料平台宜安装监测系统。</w:t>
      </w:r>
    </w:p>
    <w:p w14:paraId="6EA90227">
      <w:pPr>
        <w:pStyle w:val="90"/>
      </w:pPr>
      <w:r>
        <w:rPr>
          <w:rFonts w:hint="eastAsia"/>
        </w:rPr>
        <w:t>2</w:t>
      </w:r>
      <w:r>
        <w:t xml:space="preserve"> </w:t>
      </w:r>
      <w:r>
        <w:rPr>
          <w:rFonts w:hint="eastAsia"/>
        </w:rPr>
        <w:t>超限报警数据应推送至管理人员，同时上传至项目、企业、行业平台。</w:t>
      </w:r>
    </w:p>
    <w:p w14:paraId="64C475E5">
      <w:pPr>
        <w:pStyle w:val="90"/>
      </w:pPr>
      <w:r>
        <w:rPr>
          <w:rFonts w:hint="eastAsia"/>
        </w:rPr>
        <w:t>3 相关管理人员接到报警信息后，应立即采取措施消除隐患，必要时停止使用该卸料平台。</w:t>
      </w:r>
    </w:p>
    <w:p w14:paraId="5FEBC967">
      <w:pPr>
        <w:pStyle w:val="90"/>
      </w:pPr>
      <w:r>
        <w:rPr>
          <w:rFonts w:hint="eastAsia"/>
        </w:rPr>
        <w:t>4 采取措施消除警报后，应及时将处理信息上传至项目、企业、行业平台。</w:t>
      </w:r>
    </w:p>
    <w:p w14:paraId="739A4DE1">
      <w:pPr>
        <w:pStyle w:val="90"/>
      </w:pPr>
      <w:r>
        <w:rPr>
          <w:rFonts w:hint="eastAsia"/>
        </w:rPr>
        <w:t>5 报警及处理信息应包括卸料平台、报警时间、报警内容、报警类型、处理人、处理措施、处理后结论、过程照片。</w:t>
      </w:r>
    </w:p>
    <w:p w14:paraId="0BA0A752">
      <w:pPr>
        <w:pStyle w:val="90"/>
      </w:pPr>
      <w:r>
        <w:t>6</w:t>
      </w:r>
      <w:r>
        <w:rPr>
          <w:rFonts w:hint="eastAsia"/>
        </w:rPr>
        <w:t>卸料平台监测的实施和验收应与项目施工方案内容一致。</w:t>
      </w:r>
    </w:p>
    <w:p w14:paraId="2D3FA1C0">
      <w:pPr>
        <w:pStyle w:val="88"/>
      </w:pPr>
      <w:r>
        <w:t>5</w:t>
      </w:r>
      <w:r>
        <w:rPr>
          <w:rFonts w:hint="eastAsia"/>
        </w:rPr>
        <w:t>.2.11 VR安全教育</w:t>
      </w:r>
    </w:p>
    <w:p w14:paraId="7D2D0C9E">
      <w:pPr>
        <w:pStyle w:val="90"/>
      </w:pPr>
      <w:r>
        <w:rPr>
          <w:rFonts w:hint="eastAsia"/>
        </w:rPr>
        <w:t>1 VR安全教育应覆盖高处坠落、物体打击、火灾、机械伤害、触电、坍塌等安全事故伤害类型。</w:t>
      </w:r>
    </w:p>
    <w:p w14:paraId="4449FE19">
      <w:pPr>
        <w:pStyle w:val="90"/>
      </w:pPr>
      <w:r>
        <w:rPr>
          <w:rFonts w:hint="eastAsia"/>
        </w:rPr>
        <w:t>2 宜实现导入外部 BIM 模型，实现工人在本项目场景中进行安全教育体验。</w:t>
      </w:r>
    </w:p>
    <w:p w14:paraId="65A5EE81">
      <w:pPr>
        <w:pStyle w:val="90"/>
      </w:pPr>
      <w:r>
        <w:rPr>
          <w:rFonts w:hint="eastAsia"/>
        </w:rPr>
        <w:t>3 新入场工人宜进行 VR安全教育。</w:t>
      </w:r>
    </w:p>
    <w:p w14:paraId="29BBBA82">
      <w:pPr>
        <w:pStyle w:val="90"/>
      </w:pPr>
      <w:r>
        <w:rPr>
          <w:rFonts w:hint="eastAsia"/>
        </w:rPr>
        <w:t>4 应实现记录工人教育内容、时长，输出本地培训表格，同时可将培训结果上传至项目、企业、行业平台，并形成安全教育档案。</w:t>
      </w:r>
    </w:p>
    <w:p w14:paraId="21EED96E">
      <w:pPr>
        <w:pStyle w:val="90"/>
      </w:pPr>
      <w:r>
        <w:rPr>
          <w:rFonts w:hint="eastAsia"/>
        </w:rPr>
        <w:t>5 安全教育信息应包括被教育人、身份证号、教育内容、事故伤害类型、时长、参加教育时间、说明照片。</w:t>
      </w:r>
    </w:p>
    <w:p w14:paraId="63182062">
      <w:pPr>
        <w:pStyle w:val="88"/>
      </w:pPr>
      <w:r>
        <w:t>5</w:t>
      </w:r>
      <w:r>
        <w:rPr>
          <w:rFonts w:hint="eastAsia"/>
        </w:rPr>
        <w:t>.2.12 智能烟感</w:t>
      </w:r>
    </w:p>
    <w:p w14:paraId="2F9F3E1F">
      <w:pPr>
        <w:pStyle w:val="90"/>
      </w:pPr>
      <w:r>
        <w:rPr>
          <w:rFonts w:hint="eastAsia"/>
        </w:rPr>
        <w:t>1 应在项目办公区、生活区、工人宿舍、仓库等场所安装智能烟感监测设备，实现实时在线监测。</w:t>
      </w:r>
    </w:p>
    <w:p w14:paraId="0B1F0208">
      <w:pPr>
        <w:pStyle w:val="90"/>
      </w:pPr>
      <w:r>
        <w:rPr>
          <w:rFonts w:hint="eastAsia"/>
        </w:rPr>
        <w:t>2 当烟感浓度、温感超标时应能自动声光报警，并将报警信息推送至管理人员，同时上传至项目、企业、行业平台。</w:t>
      </w:r>
    </w:p>
    <w:p w14:paraId="3F9DAD6B">
      <w:pPr>
        <w:pStyle w:val="90"/>
      </w:pPr>
      <w:r>
        <w:rPr>
          <w:rFonts w:hint="eastAsia"/>
        </w:rPr>
        <w:t>3 宜与智能广播系统联动，指导临险人员快速、正确避险。</w:t>
      </w:r>
    </w:p>
    <w:p w14:paraId="1F12CAC6">
      <w:pPr>
        <w:pStyle w:val="90"/>
      </w:pPr>
      <w:r>
        <w:rPr>
          <w:rFonts w:hint="eastAsia"/>
        </w:rPr>
        <w:t>4 相关管理人员应立即采取措施消除隐患，必要时撤离受到威胁人员。</w:t>
      </w:r>
    </w:p>
    <w:p w14:paraId="2EF9CCCC">
      <w:pPr>
        <w:pStyle w:val="90"/>
      </w:pPr>
      <w:r>
        <w:rPr>
          <w:rFonts w:hint="eastAsia"/>
        </w:rPr>
        <w:t>5 采取措施消除警报后，应及时将处理信息上传至项目、企业、行业平台。</w:t>
      </w:r>
    </w:p>
    <w:p w14:paraId="403270CC">
      <w:pPr>
        <w:pStyle w:val="90"/>
      </w:pPr>
      <w:r>
        <w:rPr>
          <w:rFonts w:hint="eastAsia"/>
        </w:rPr>
        <w:t>6 报警信息应包括报警区域、烟感探测器编号、报警时间、报警内容、报警类型。</w:t>
      </w:r>
    </w:p>
    <w:p w14:paraId="6A1E0EE9">
      <w:pPr>
        <w:pStyle w:val="88"/>
      </w:pPr>
      <w:r>
        <w:rPr>
          <w:rFonts w:hint="eastAsia"/>
        </w:rPr>
        <w:t>5.2.13 塔机激光定位系统</w:t>
      </w:r>
    </w:p>
    <w:p w14:paraId="1E2EE174">
      <w:pPr>
        <w:pStyle w:val="90"/>
      </w:pPr>
      <w:r>
        <w:rPr>
          <w:rFonts w:hint="eastAsia"/>
        </w:rPr>
        <w:t>1 有夜间施工需求的项目，宜安装塔机激光定位系统。</w:t>
      </w:r>
    </w:p>
    <w:p w14:paraId="078BECB2">
      <w:pPr>
        <w:pStyle w:val="90"/>
      </w:pPr>
      <w:r>
        <w:rPr>
          <w:rFonts w:hint="eastAsia"/>
        </w:rPr>
        <w:t>2 激光器应安装在塔机小车上，并竖直向下发射激光。</w:t>
      </w:r>
    </w:p>
    <w:p w14:paraId="1E041C11">
      <w:pPr>
        <w:pStyle w:val="90"/>
      </w:pPr>
      <w:r>
        <w:rPr>
          <w:rFonts w:hint="eastAsia"/>
        </w:rPr>
        <w:t>3 激光强度适宜、精准定位，夜视效果清晰，符合国家安全标准。</w:t>
      </w:r>
    </w:p>
    <w:p w14:paraId="1EB582E2">
      <w:pPr>
        <w:pStyle w:val="90"/>
      </w:pPr>
      <w:r>
        <w:rPr>
          <w:rFonts w:hint="eastAsia"/>
        </w:rPr>
        <w:t>4 激光器应实现多级调光，满足不同施工环境需要。</w:t>
      </w:r>
    </w:p>
    <w:p w14:paraId="346ACF40">
      <w:pPr>
        <w:pStyle w:val="88"/>
      </w:pPr>
      <w:r>
        <w:t>5</w:t>
      </w:r>
      <w:r>
        <w:rPr>
          <w:rFonts w:hint="eastAsia"/>
        </w:rPr>
        <w:t>.2.14 吊篮监测</w:t>
      </w:r>
    </w:p>
    <w:p w14:paraId="009D981B">
      <w:pPr>
        <w:pStyle w:val="90"/>
      </w:pPr>
      <w:r>
        <w:rPr>
          <w:rFonts w:hint="eastAsia"/>
        </w:rPr>
        <w:t>1 吊篮监测应实现吊篮编号、单体工程、具体位置、安装日期、安装人、安全锁编号、安全锁标定期、检测日期、检测人、检测结论等数据的管理、上传、维护和查询。</w:t>
      </w:r>
    </w:p>
    <w:p w14:paraId="38E0ECB8">
      <w:pPr>
        <w:pStyle w:val="90"/>
      </w:pPr>
      <w:r>
        <w:t>2</w:t>
      </w:r>
      <w:r>
        <w:rPr>
          <w:rFonts w:hint="eastAsia"/>
        </w:rPr>
        <w:t>高处作业吊篮宜安装智能监测系统，系统应跟随吊篮的运行实时监测平台载重、环境风速、横向倾斜角度、纵向倾斜角度、高度、速度等数据。</w:t>
      </w:r>
    </w:p>
    <w:p w14:paraId="27E62F6E">
      <w:pPr>
        <w:pStyle w:val="90"/>
      </w:pPr>
      <w:r>
        <w:t>3</w:t>
      </w:r>
      <w:r>
        <w:rPr>
          <w:rFonts w:hint="eastAsia"/>
        </w:rPr>
        <w:t>当监测到吊篮平台载重、环境风速、横向倾斜角度、纵向倾斜角度、高度、速度超限时，应现场声光报警，并将预警、报警信息推送至相关管理人员，同时将报警信息上传至项目、企业、行业平台。</w:t>
      </w:r>
    </w:p>
    <w:p w14:paraId="44B65312">
      <w:pPr>
        <w:pStyle w:val="90"/>
      </w:pPr>
      <w:r>
        <w:t>4</w:t>
      </w:r>
      <w:r>
        <w:rPr>
          <w:rFonts w:hint="eastAsia"/>
        </w:rPr>
        <w:t>相关管理人员接到报警信息后，应立即采取措施消除隐患，必要时停止使用该吊篮。</w:t>
      </w:r>
    </w:p>
    <w:p w14:paraId="219DB7A7">
      <w:pPr>
        <w:pStyle w:val="90"/>
      </w:pPr>
      <w:r>
        <w:t>5</w:t>
      </w:r>
      <w:r>
        <w:rPr>
          <w:rFonts w:hint="eastAsia"/>
        </w:rPr>
        <w:t>采取措施消除警报后，应及时将处理信息上传至项目、企业、行业平台。</w:t>
      </w:r>
    </w:p>
    <w:p w14:paraId="3A9B3A8A">
      <w:pPr>
        <w:pStyle w:val="90"/>
      </w:pPr>
      <w:r>
        <w:t>6</w:t>
      </w:r>
      <w:r>
        <w:rPr>
          <w:rFonts w:hint="eastAsia"/>
        </w:rPr>
        <w:t>报警及处理信息包括吊篮编号、单体工程、具体位置、报警时间、报警内容、报警类型、处理人、处理措施、处理后结论、过程照片。</w:t>
      </w:r>
    </w:p>
    <w:p w14:paraId="702194CD">
      <w:pPr>
        <w:pStyle w:val="90"/>
      </w:pPr>
      <w:r>
        <w:t>7</w:t>
      </w:r>
      <w:r>
        <w:rPr>
          <w:rFonts w:hint="eastAsia"/>
        </w:rPr>
        <w:t>吊篮监测的实施和验收应与项目施工方案内容一致。</w:t>
      </w:r>
    </w:p>
    <w:p w14:paraId="5356600D">
      <w:pPr>
        <w:pStyle w:val="88"/>
      </w:pPr>
      <w:r>
        <w:t>5</w:t>
      </w:r>
      <w:r>
        <w:rPr>
          <w:rFonts w:hint="eastAsia"/>
        </w:rPr>
        <w:t>.2.15 外墙脚手架监测</w:t>
      </w:r>
    </w:p>
    <w:p w14:paraId="33AFBBFF">
      <w:pPr>
        <w:pStyle w:val="90"/>
      </w:pPr>
      <w:r>
        <w:rPr>
          <w:rFonts w:hint="eastAsia"/>
        </w:rPr>
        <w:t>1 整体提升脚手架、模板等自升式架设设施应安装监测设备，对外墙脚手架架体水平位移、倾斜横向角度、纵向倾斜角度、风速数据实时监测。</w:t>
      </w:r>
    </w:p>
    <w:p w14:paraId="77CC0757">
      <w:pPr>
        <w:pStyle w:val="90"/>
      </w:pPr>
      <w:r>
        <w:rPr>
          <w:rFonts w:hint="eastAsia"/>
        </w:rPr>
        <w:t>2 当监测到外墙脚手架架体水平位移、倾斜横向角度、纵向倾斜角度、风速数据超限时应现场声光报警，并将报警信息推送至相关管理人员，同时上传至项目、企业、行业平台。</w:t>
      </w:r>
    </w:p>
    <w:p w14:paraId="69428F69">
      <w:pPr>
        <w:pStyle w:val="90"/>
      </w:pPr>
      <w:r>
        <w:rPr>
          <w:rFonts w:hint="eastAsia"/>
        </w:rPr>
        <w:t>3 相关管理人员接到报警信息后，应立即采取措施消除隐患。</w:t>
      </w:r>
    </w:p>
    <w:p w14:paraId="3984A442">
      <w:pPr>
        <w:pStyle w:val="90"/>
      </w:pPr>
      <w:r>
        <w:rPr>
          <w:rFonts w:hint="eastAsia"/>
        </w:rPr>
        <w:t>4 采取措施消除警报后，应及时将处理信息上传至项目、企业、行业平台。</w:t>
      </w:r>
    </w:p>
    <w:p w14:paraId="309E4E25">
      <w:pPr>
        <w:pStyle w:val="90"/>
      </w:pPr>
      <w:r>
        <w:rPr>
          <w:rFonts w:hint="eastAsia"/>
        </w:rPr>
        <w:t>5 报警及处理信息包括单体工程、脚手架名称、报警时间、报警内容、报警类型、处理人、处理措施、处理后结论、过程照片。</w:t>
      </w:r>
    </w:p>
    <w:p w14:paraId="4428B6EF">
      <w:pPr>
        <w:pStyle w:val="90"/>
      </w:pPr>
      <w:r>
        <w:t>6</w:t>
      </w:r>
      <w:r>
        <w:rPr>
          <w:rFonts w:hint="eastAsia"/>
        </w:rPr>
        <w:t>外墙脚手架监测的实施和验收应与项目施工方案内容一致。</w:t>
      </w:r>
    </w:p>
    <w:p w14:paraId="68FED254">
      <w:pPr>
        <w:pStyle w:val="88"/>
      </w:pPr>
      <w:r>
        <w:t>5</w:t>
      </w:r>
      <w:r>
        <w:rPr>
          <w:rFonts w:hint="eastAsia"/>
        </w:rPr>
        <w:t>.2.16</w:t>
      </w:r>
      <w:r>
        <w:t xml:space="preserve"> </w:t>
      </w:r>
      <w:r>
        <w:rPr>
          <w:rFonts w:hint="eastAsia"/>
        </w:rPr>
        <w:t>钢结构安全监测</w:t>
      </w:r>
    </w:p>
    <w:p w14:paraId="12D7C2C0">
      <w:pPr>
        <w:pStyle w:val="90"/>
      </w:pPr>
      <w:r>
        <w:rPr>
          <w:rFonts w:hint="eastAsia"/>
        </w:rPr>
        <w:t>1 施工总承包单位应组织钢结构专业承包单位及建设、监理、检测、监测单位，结合工程实际对钢结构安全监测制定专项方案并实施。项目平台应对钢结构安全监测方案进行管理，并在实施前上传至企业、行业平台。</w:t>
      </w:r>
    </w:p>
    <w:p w14:paraId="7A56F83E">
      <w:pPr>
        <w:pStyle w:val="90"/>
      </w:pPr>
      <w:r>
        <w:rPr>
          <w:rFonts w:hint="eastAsia"/>
        </w:rPr>
        <w:t>2 应对钢结构工程主要构件、关键节点应力应变变化及趋势进行监测、报警。</w:t>
      </w:r>
    </w:p>
    <w:p w14:paraId="757E6113">
      <w:pPr>
        <w:pStyle w:val="90"/>
      </w:pPr>
      <w:r>
        <w:rPr>
          <w:rFonts w:hint="eastAsia"/>
        </w:rPr>
        <w:t>3 应通过对构件应力变化的差异性、不均匀性信息，推断、监测大体量钢结构建造过程中不同工况下的工作状态，当监测到监测指标超限时声光报警，并将报警信息推送相关管理人员，同时上传至项目、企业、行业平台。</w:t>
      </w:r>
    </w:p>
    <w:p w14:paraId="0C5F0E2A">
      <w:pPr>
        <w:pStyle w:val="90"/>
      </w:pPr>
      <w:r>
        <w:rPr>
          <w:rFonts w:hint="eastAsia"/>
        </w:rPr>
        <w:t>4 相关管理人员接到报警信息后，应立即采取措施消除隐患。</w:t>
      </w:r>
    </w:p>
    <w:p w14:paraId="35AF2944">
      <w:pPr>
        <w:pStyle w:val="90"/>
      </w:pPr>
      <w:r>
        <w:rPr>
          <w:rFonts w:hint="eastAsia"/>
        </w:rPr>
        <w:t>5 采取措施消除警报后，应及时将处理信息上传至项目、企业、行业平台，报警及处理信息包括单体工程、构件类型（钢柱、钢梁、斜撑构件、支座、连接节点等）、监测类型（应力、应变、位移等）、标准值、上期值、本期值、本期变化值、累积变化值报警时间、报警内容、报警类型、处理人、处理措施、处理后结论、过程照片。</w:t>
      </w:r>
    </w:p>
    <w:p w14:paraId="1BCEDE89">
      <w:pPr>
        <w:pStyle w:val="88"/>
      </w:pPr>
      <w:r>
        <w:rPr>
          <w:rFonts w:hint="eastAsia"/>
        </w:rPr>
        <w:t>5</w:t>
      </w:r>
      <w:r>
        <w:t>.2.17</w:t>
      </w:r>
      <w:r>
        <w:rPr>
          <w:rFonts w:hint="eastAsia"/>
        </w:rPr>
        <w:t>智能临边防护网监测</w:t>
      </w:r>
    </w:p>
    <w:p w14:paraId="6A3BF686">
      <w:pPr>
        <w:pStyle w:val="90"/>
      </w:pPr>
      <w:r>
        <w:rPr>
          <w:rFonts w:hint="eastAsia"/>
        </w:rPr>
        <w:t>1 应对施工现场临边、洞口防护、基坑、施工边界防护网基本信息进行维护，基本信息应包括防护网编号、防护网形式、边界名称、类型、单体工程、楼层、具体位置。</w:t>
      </w:r>
    </w:p>
    <w:p w14:paraId="196D5AD5">
      <w:pPr>
        <w:pStyle w:val="90"/>
      </w:pPr>
      <w:r>
        <w:rPr>
          <w:rFonts w:hint="eastAsia"/>
        </w:rPr>
        <w:t>2 施工现场临边、洞口防护、基坑、施工边界等宜设置电子感应系统，发现异常应现场报警和远程报警。</w:t>
      </w:r>
    </w:p>
    <w:p w14:paraId="1342634A">
      <w:pPr>
        <w:pStyle w:val="90"/>
      </w:pPr>
      <w:r>
        <w:rPr>
          <w:rFonts w:hint="eastAsia"/>
        </w:rPr>
        <w:t>3 当监测到人员靠近、防护网破坏、违规翻越、坠落事件时现场声光报警，并推送报警信息至管理人员，上传至项目、企业、行业平台。</w:t>
      </w:r>
    </w:p>
    <w:p w14:paraId="74E7D36A">
      <w:pPr>
        <w:pStyle w:val="90"/>
      </w:pPr>
      <w:r>
        <w:rPr>
          <w:rFonts w:hint="eastAsia"/>
        </w:rPr>
        <w:t>4 相关管理人员接到报警信息后，应立即采取措施消除隐患。</w:t>
      </w:r>
    </w:p>
    <w:p w14:paraId="7CA678EC">
      <w:pPr>
        <w:pStyle w:val="90"/>
      </w:pPr>
      <w:r>
        <w:rPr>
          <w:rFonts w:hint="eastAsia"/>
        </w:rPr>
        <w:t>5 采取措施消除警报后，应及时将处理信息上传项目、企业、行业。</w:t>
      </w:r>
    </w:p>
    <w:p w14:paraId="1979F9D6">
      <w:pPr>
        <w:pStyle w:val="90"/>
      </w:pPr>
      <w:r>
        <w:rPr>
          <w:rFonts w:hint="eastAsia"/>
        </w:rPr>
        <w:t>6 报警信息包括单体工程、防护体类型、边界区块名称、报警时间、报警内容、报警类型。</w:t>
      </w:r>
    </w:p>
    <w:p w14:paraId="77724335">
      <w:pPr>
        <w:pStyle w:val="88"/>
      </w:pPr>
      <w:r>
        <w:t>5</w:t>
      </w:r>
      <w:r>
        <w:rPr>
          <w:rFonts w:hint="eastAsia"/>
        </w:rPr>
        <w:t>.2.18 周界防护</w:t>
      </w:r>
    </w:p>
    <w:p w14:paraId="7589387E">
      <w:pPr>
        <w:pStyle w:val="90"/>
      </w:pPr>
      <w:r>
        <w:rPr>
          <w:rFonts w:hint="eastAsia"/>
        </w:rPr>
        <w:t>1 施工现场周边应设置周界防护系统，实现重点区域监控、活体闯入感应报警、现场声光报警、远程自动报警。</w:t>
      </w:r>
    </w:p>
    <w:p w14:paraId="2C493DE0">
      <w:pPr>
        <w:pStyle w:val="90"/>
      </w:pPr>
      <w:r>
        <w:rPr>
          <w:rFonts w:hint="eastAsia"/>
        </w:rPr>
        <w:t>2 周界防护系统应包括现场感应装置、现场报警装置和远程报警装置，系统应实现实时监测。</w:t>
      </w:r>
    </w:p>
    <w:p w14:paraId="10D776D8">
      <w:pPr>
        <w:pStyle w:val="90"/>
      </w:pPr>
      <w:r>
        <w:rPr>
          <w:rFonts w:hint="eastAsia"/>
        </w:rPr>
        <w:t>3 当监测到活体闯入、违规翻越时现场声光报警，并推送报警信息至管理人员，上传至项目、企业、行业平台。</w:t>
      </w:r>
    </w:p>
    <w:p w14:paraId="34F70659">
      <w:pPr>
        <w:pStyle w:val="90"/>
      </w:pPr>
      <w:r>
        <w:rPr>
          <w:rFonts w:hint="eastAsia"/>
        </w:rPr>
        <w:t>4 相关管理人员接到报警信息后，应采取措施消除隐患。</w:t>
      </w:r>
    </w:p>
    <w:p w14:paraId="03BB61EC">
      <w:pPr>
        <w:pStyle w:val="90"/>
      </w:pPr>
      <w:r>
        <w:rPr>
          <w:rFonts w:hint="eastAsia"/>
        </w:rPr>
        <w:t>5 采取措施消除警报后，应及时将处理信息上传项目、企业、行业平台。</w:t>
      </w:r>
    </w:p>
    <w:p w14:paraId="46A84931">
      <w:pPr>
        <w:pStyle w:val="90"/>
      </w:pPr>
      <w:r>
        <w:rPr>
          <w:rFonts w:hint="eastAsia"/>
        </w:rPr>
        <w:t>6 报警信息应应包括周界区域名称、报警内容、报警类型。</w:t>
      </w:r>
    </w:p>
    <w:p w14:paraId="410CA7F4">
      <w:pPr>
        <w:pStyle w:val="88"/>
      </w:pPr>
      <w:r>
        <w:t>5.2.19</w:t>
      </w:r>
      <w:r>
        <w:rPr>
          <w:rFonts w:hint="eastAsia"/>
        </w:rPr>
        <w:t>施工临电箱监测</w:t>
      </w:r>
    </w:p>
    <w:p w14:paraId="1D941C9A">
      <w:pPr>
        <w:pStyle w:val="90"/>
      </w:pPr>
      <w:r>
        <w:rPr>
          <w:rFonts w:hint="eastAsia"/>
        </w:rPr>
        <w:t>1施工现场主要临电箱应安装智能临电箱监测，对用电过载、漏电、线缆温度、故障电弧及电气火灾等引起的温升、烟雾异常现象进行实时监测。</w:t>
      </w:r>
    </w:p>
    <w:p w14:paraId="5619F512">
      <w:pPr>
        <w:pStyle w:val="90"/>
      </w:pPr>
      <w:r>
        <w:rPr>
          <w:rFonts w:hint="eastAsia"/>
        </w:rPr>
        <w:t>2 线缆温度、电能等监测、传感设备应符合相关标准规定，满足监测需求。</w:t>
      </w:r>
    </w:p>
    <w:p w14:paraId="3CDB8510">
      <w:pPr>
        <w:pStyle w:val="90"/>
      </w:pPr>
      <w:r>
        <w:rPr>
          <w:rFonts w:hint="eastAsia"/>
        </w:rPr>
        <w:t>3 当电压、电流、剩余电流、温度、功率等数据指标超过阀值时应即时报警，推送报警至管理人员，并上传至项目、企业、行业平台。</w:t>
      </w:r>
    </w:p>
    <w:p w14:paraId="4C8C8244">
      <w:pPr>
        <w:pStyle w:val="90"/>
      </w:pPr>
      <w:r>
        <w:rPr>
          <w:rFonts w:hint="eastAsia"/>
        </w:rPr>
        <w:t>4 相关管理人员接到报警信息后，应立即采取措施消除隐患。</w:t>
      </w:r>
    </w:p>
    <w:p w14:paraId="456E412C">
      <w:pPr>
        <w:pStyle w:val="90"/>
      </w:pPr>
      <w:r>
        <w:rPr>
          <w:rFonts w:hint="eastAsia"/>
        </w:rPr>
        <w:t>5 采取措施消除警报后，应及时将处理信息上传项目、企业、行业平台。</w:t>
      </w:r>
    </w:p>
    <w:p w14:paraId="31C6FFFD">
      <w:pPr>
        <w:pStyle w:val="90"/>
      </w:pPr>
      <w:r>
        <w:rPr>
          <w:rFonts w:hint="eastAsia"/>
        </w:rPr>
        <w:t>6 报警信息应包括临电箱编号、临电箱名称、监测项目、报警内容、报警类型等。</w:t>
      </w:r>
    </w:p>
    <w:p w14:paraId="3A575FEE">
      <w:pPr>
        <w:pStyle w:val="88"/>
      </w:pPr>
      <w:r>
        <w:t>5</w:t>
      </w:r>
      <w:r>
        <w:rPr>
          <w:rFonts w:hint="eastAsia"/>
        </w:rPr>
        <w:t>.2.20 库房监测</w:t>
      </w:r>
    </w:p>
    <w:p w14:paraId="45081131">
      <w:pPr>
        <w:pStyle w:val="90"/>
      </w:pPr>
      <w:r>
        <w:rPr>
          <w:rFonts w:hint="eastAsia"/>
        </w:rPr>
        <w:t>1 应在库房特定区域加设气体、温度、烟雾感应器或漏水监测线缆，实现监测及报警。</w:t>
      </w:r>
    </w:p>
    <w:p w14:paraId="61885592">
      <w:pPr>
        <w:pStyle w:val="90"/>
      </w:pPr>
      <w:r>
        <w:rPr>
          <w:rFonts w:hint="eastAsia"/>
        </w:rPr>
        <w:t>2 应实现对库房信息的维护。库房信息应包括库房名称、库房编号、库房储存材料类型、库房管理人员姓名、身份证号、性别等。</w:t>
      </w:r>
    </w:p>
    <w:p w14:paraId="4647BAE6">
      <w:pPr>
        <w:pStyle w:val="90"/>
      </w:pPr>
      <w:r>
        <w:rPr>
          <w:rFonts w:hint="eastAsia"/>
        </w:rPr>
        <w:t>3 当监测项目指标超过阀值时应即时报警，推送报警至管理人员，并上传至项目、企业、行业平台。</w:t>
      </w:r>
    </w:p>
    <w:p w14:paraId="48D9E2DE">
      <w:pPr>
        <w:pStyle w:val="90"/>
      </w:pPr>
      <w:r>
        <w:rPr>
          <w:rFonts w:hint="eastAsia"/>
        </w:rPr>
        <w:t>4 宜与智能广播系统联动，实现语音报警。</w:t>
      </w:r>
    </w:p>
    <w:p w14:paraId="69E14C44">
      <w:pPr>
        <w:pStyle w:val="90"/>
      </w:pPr>
      <w:r>
        <w:rPr>
          <w:rFonts w:hint="eastAsia"/>
        </w:rPr>
        <w:t>5 相关管理人员接到报警信息后，应采取措施消除隐患。</w:t>
      </w:r>
    </w:p>
    <w:p w14:paraId="0337C2F2">
      <w:pPr>
        <w:pStyle w:val="90"/>
      </w:pPr>
      <w:r>
        <w:rPr>
          <w:rFonts w:hint="eastAsia"/>
        </w:rPr>
        <w:t>6 采取措施消除警报后，应及时将处理信息上传至项目、企业、行业平台。</w:t>
      </w:r>
    </w:p>
    <w:p w14:paraId="0D3E6328">
      <w:pPr>
        <w:pStyle w:val="90"/>
      </w:pPr>
      <w:r>
        <w:rPr>
          <w:rFonts w:hint="eastAsia"/>
        </w:rPr>
        <w:t>7 报警信息应包括库房编号、库房名称、监测项目、监测器编号、报警内容、报警类型等。</w:t>
      </w:r>
    </w:p>
    <w:p w14:paraId="2D6EB393">
      <w:pPr>
        <w:pStyle w:val="88"/>
      </w:pPr>
      <w:r>
        <w:t>5</w:t>
      </w:r>
      <w:r>
        <w:rPr>
          <w:rFonts w:hint="eastAsia"/>
        </w:rPr>
        <w:t>.2.21 钢丝绳损伤监测系统</w:t>
      </w:r>
    </w:p>
    <w:p w14:paraId="0AEBE829">
      <w:pPr>
        <w:pStyle w:val="90"/>
      </w:pPr>
      <w:r>
        <w:rPr>
          <w:rFonts w:hint="eastAsia"/>
        </w:rPr>
        <w:t>1 施工现场塔式起重机、物料提升机、施工升降机、高处作业吊篮、自升式架设设施等机械设备设施以及大型吊具所用钢丝绳宜安装损伤监测系统，实时监测钢丝绳损伤情况，发现异常应现场报警和远程报警。</w:t>
      </w:r>
    </w:p>
    <w:p w14:paraId="1736285A">
      <w:pPr>
        <w:pStyle w:val="90"/>
      </w:pPr>
      <w:r>
        <w:rPr>
          <w:rFonts w:hint="eastAsia"/>
        </w:rPr>
        <w:t>2 钢丝绳损伤监测系统应实现智能探伤、精准探伤、宽距探伤、高速探伤。</w:t>
      </w:r>
    </w:p>
    <w:p w14:paraId="13B6D06A">
      <w:pPr>
        <w:pStyle w:val="90"/>
      </w:pPr>
      <w:r>
        <w:rPr>
          <w:rFonts w:hint="eastAsia"/>
        </w:rPr>
        <w:t>3 实时监测塔机钢丝绳的累计行程、风险等级、损伤记录，当监测到钢丝绳断丝断股等损伤情况应即时报警，推送报警至管理人员，并上传至项目、企业、行业平台。</w:t>
      </w:r>
    </w:p>
    <w:p w14:paraId="676627D1">
      <w:pPr>
        <w:pStyle w:val="90"/>
      </w:pPr>
      <w:r>
        <w:rPr>
          <w:rFonts w:hint="eastAsia"/>
        </w:rPr>
        <w:t>4 相关管理人员接到报警信息后，应采取措施消除隐患。</w:t>
      </w:r>
    </w:p>
    <w:p w14:paraId="5512730D">
      <w:pPr>
        <w:pStyle w:val="90"/>
      </w:pPr>
      <w:r>
        <w:rPr>
          <w:rFonts w:hint="eastAsia"/>
        </w:rPr>
        <w:t>5 采取措施消除警报后，应及时将处理信息上传至项目、企业、行业平台。</w:t>
      </w:r>
    </w:p>
    <w:p w14:paraId="3FD48E18">
      <w:pPr>
        <w:pStyle w:val="88"/>
      </w:pPr>
      <w:r>
        <w:t>5</w:t>
      </w:r>
      <w:r>
        <w:rPr>
          <w:rFonts w:hint="eastAsia"/>
        </w:rPr>
        <w:t>.2.22 智能安全带</w:t>
      </w:r>
    </w:p>
    <w:p w14:paraId="585BF66D">
      <w:pPr>
        <w:pStyle w:val="90"/>
      </w:pPr>
      <w:r>
        <w:rPr>
          <w:rFonts w:hint="eastAsia"/>
        </w:rPr>
        <w:t>1 高处作业人员宜佩戴智能安全带。</w:t>
      </w:r>
    </w:p>
    <w:p w14:paraId="5B0986EB">
      <w:pPr>
        <w:pStyle w:val="90"/>
      </w:pPr>
      <w:r>
        <w:rPr>
          <w:rFonts w:hint="eastAsia"/>
        </w:rPr>
        <w:t>2 智能安全带应能监测登高人员安全带佩戴状况，出现未正确佩戴安全带、不挂钩、低挂高用、双钩过近等异常立即报警。</w:t>
      </w:r>
    </w:p>
    <w:p w14:paraId="1789BE9D">
      <w:pPr>
        <w:pStyle w:val="90"/>
      </w:pPr>
      <w:r>
        <w:rPr>
          <w:rFonts w:hint="eastAsia"/>
        </w:rPr>
        <w:t>3 智能安全带应实现系统紧急求救(SOS）。</w:t>
      </w:r>
    </w:p>
    <w:p w14:paraId="1A624D54">
      <w:pPr>
        <w:pStyle w:val="90"/>
      </w:pPr>
      <w:r>
        <w:rPr>
          <w:rFonts w:hint="eastAsia"/>
        </w:rPr>
        <w:t>4 智能安全带系统实现对监测心律血压等生理指标提醒，判断是否适合高空作业并预警。</w:t>
      </w:r>
    </w:p>
    <w:p w14:paraId="483D3D26">
      <w:pPr>
        <w:pStyle w:val="90"/>
      </w:pPr>
      <w:r>
        <w:rPr>
          <w:rFonts w:hint="eastAsia"/>
        </w:rPr>
        <w:t>5 智能安全带系统宜实现远程上锁设备在线状态显示。</w:t>
      </w:r>
    </w:p>
    <w:p w14:paraId="705FA608">
      <w:pPr>
        <w:pStyle w:val="90"/>
      </w:pPr>
      <w:r>
        <w:rPr>
          <w:rFonts w:hint="eastAsia"/>
        </w:rPr>
        <w:t>6 智能安全带信息应上传项目、企业、行业平台。</w:t>
      </w:r>
    </w:p>
    <w:p w14:paraId="207168D6">
      <w:pPr>
        <w:pStyle w:val="88"/>
      </w:pPr>
      <w:r>
        <w:t>5</w:t>
      </w:r>
      <w:r>
        <w:rPr>
          <w:rFonts w:hint="eastAsia"/>
        </w:rPr>
        <w:t>.2.23 安全教育一体机</w:t>
      </w:r>
    </w:p>
    <w:p w14:paraId="39CF8AD2">
      <w:pPr>
        <w:pStyle w:val="90"/>
      </w:pPr>
      <w:r>
        <w:rPr>
          <w:rFonts w:hint="eastAsia"/>
        </w:rPr>
        <w:t>1 安全教育一体机应实现培训计划、快速签到、托管培训、无纸考试、自动建档,助力项目安全教育提质增效，人员减负。</w:t>
      </w:r>
    </w:p>
    <w:p w14:paraId="6A0D7327">
      <w:pPr>
        <w:pStyle w:val="90"/>
      </w:pPr>
      <w:r>
        <w:rPr>
          <w:rFonts w:hint="eastAsia"/>
        </w:rPr>
        <w:t>2培训对象应含盖建筑施工三类人员及其他工程技术人员、特种作业人员、普通作业人员，可满足各类人员的三级安全教育培训、日常安全培训、转岗安全教育等培训。</w:t>
      </w:r>
    </w:p>
    <w:p w14:paraId="21078958">
      <w:pPr>
        <w:pStyle w:val="90"/>
      </w:pPr>
      <w:r>
        <w:rPr>
          <w:rFonts w:hint="eastAsia"/>
        </w:rPr>
        <w:t>3 安全教育一体机应支持人员通过身份证和人脸识别进行认证签到。</w:t>
      </w:r>
    </w:p>
    <w:p w14:paraId="392CB735">
      <w:pPr>
        <w:pStyle w:val="90"/>
      </w:pPr>
      <w:r>
        <w:rPr>
          <w:rFonts w:hint="eastAsia"/>
        </w:rPr>
        <w:t>4</w:t>
      </w:r>
      <w:r>
        <w:t xml:space="preserve"> </w:t>
      </w:r>
      <w:r>
        <w:rPr>
          <w:rFonts w:hint="eastAsia"/>
        </w:rPr>
        <w:t>安全教育一体机应内置生动丰富的课程资源和试题供学习和考核，支持企业项目上传自有素材，形成企业项目资源库。</w:t>
      </w:r>
    </w:p>
    <w:p w14:paraId="037D359D">
      <w:pPr>
        <w:pStyle w:val="90"/>
      </w:pPr>
      <w:r>
        <w:rPr>
          <w:rFonts w:hint="eastAsia"/>
        </w:rPr>
        <w:t>5 运用多媒体技术手段，采用动画、视频、图文等方式进行学习和考试，应支持小程序及答题器答题，答题结束后可支持自动阅卷并显示考试成绩。</w:t>
      </w:r>
    </w:p>
    <w:p w14:paraId="757E74D7">
      <w:pPr>
        <w:pStyle w:val="90"/>
      </w:pPr>
      <w:r>
        <w:rPr>
          <w:rFonts w:hint="eastAsia"/>
        </w:rPr>
        <w:t>6 应提供报表自定义工具，项目可按管理要求设计所需报表。支持自动生成签到表、成绩表、三级教育卡等各种电子档案，快速导出资料。</w:t>
      </w:r>
    </w:p>
    <w:p w14:paraId="0F554DC6">
      <w:pPr>
        <w:pStyle w:val="90"/>
      </w:pPr>
      <w:r>
        <w:rPr>
          <w:rFonts w:hint="eastAsia"/>
        </w:rPr>
        <w:t>7 应对教育情况进行统计分析，并能提供可视化统计图形。宜支持三级入场教育完成率、教育统计台账、班前教育统计，未教育人员等分析及预警，做到工人教育监管无遗漏。</w:t>
      </w:r>
    </w:p>
    <w:p w14:paraId="56956D89">
      <w:pPr>
        <w:pStyle w:val="90"/>
      </w:pPr>
      <w:r>
        <w:rPr>
          <w:rFonts w:hint="eastAsia"/>
        </w:rPr>
        <w:t>8 宜提供数据接口与实名制系统、安全系统互通。实现培训结果可关联项目门禁闸机，对未培训人员禁止入内，安全教育合格后方授权。</w:t>
      </w:r>
    </w:p>
    <w:p w14:paraId="3D97FAFC">
      <w:pPr>
        <w:pStyle w:val="90"/>
      </w:pPr>
      <w:r>
        <w:rPr>
          <w:rFonts w:hint="eastAsia"/>
        </w:rPr>
        <w:t>9 安全教育一体机数据应上传至项目、企业、行业平台。</w:t>
      </w:r>
    </w:p>
    <w:bookmarkEnd w:id="85"/>
    <w:bookmarkEnd w:id="86"/>
    <w:bookmarkEnd w:id="87"/>
    <w:bookmarkEnd w:id="88"/>
    <w:p w14:paraId="0A8463B3">
      <w:pPr>
        <w:pStyle w:val="40"/>
        <w:ind w:firstLine="0" w:firstLineChars="0"/>
        <w:jc w:val="center"/>
        <w:outlineLvl w:val="1"/>
        <w:rPr>
          <w:rFonts w:hint="eastAsia" w:ascii="黑体" w:hAnsi="黑体" w:eastAsia="黑体" w:cs="黑体"/>
          <w:color w:val="000000" w:themeColor="text1"/>
          <w:szCs w:val="21"/>
          <w:lang w:val="en-US" w:eastAsia="zh-CN"/>
          <w14:textFill>
            <w14:solidFill>
              <w14:schemeClr w14:val="tx1"/>
            </w14:solidFill>
          </w14:textFill>
        </w:rPr>
      </w:pPr>
      <w:bookmarkStart w:id="89" w:name="_Toc29430"/>
      <w:bookmarkStart w:id="90" w:name="_Toc6578"/>
      <w:bookmarkStart w:id="91" w:name="_Toc19495"/>
      <w:bookmarkStart w:id="92" w:name="_Toc149385769"/>
      <w:bookmarkStart w:id="93" w:name="_Toc153316363"/>
      <w:bookmarkStart w:id="94" w:name="_Toc150548804"/>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3</w:t>
      </w:r>
      <w:r>
        <w:rPr>
          <w:rFonts w:ascii="黑体" w:hAnsi="黑体" w:eastAsia="黑体" w:cs="黑体"/>
          <w:color w:val="000000" w:themeColor="text1"/>
          <w:szCs w:val="21"/>
          <w14:textFill>
            <w14:solidFill>
              <w14:schemeClr w14:val="tx1"/>
            </w14:solidFill>
          </w14:textFill>
        </w:rPr>
        <w:t xml:space="preserve"> </w:t>
      </w:r>
      <w:bookmarkStart w:id="95" w:name="_Hlk150540224"/>
      <w:r>
        <w:rPr>
          <w:rFonts w:hint="eastAsia" w:ascii="黑体" w:hAnsi="黑体" w:eastAsia="黑体" w:cs="黑体"/>
          <w:color w:val="000000" w:themeColor="text1"/>
          <w:szCs w:val="21"/>
          <w14:textFill>
            <w14:solidFill>
              <w14:schemeClr w14:val="tx1"/>
            </w14:solidFill>
          </w14:textFill>
        </w:rPr>
        <w:t>施工质量管理</w:t>
      </w:r>
      <w:bookmarkEnd w:id="89"/>
      <w:bookmarkEnd w:id="90"/>
      <w:bookmarkEnd w:id="91"/>
      <w:bookmarkEnd w:id="92"/>
      <w:bookmarkEnd w:id="93"/>
      <w:bookmarkEnd w:id="94"/>
      <w:bookmarkEnd w:id="95"/>
      <w:r>
        <w:rPr>
          <w:rFonts w:hint="eastAsia" w:ascii="黑体" w:hAnsi="黑体" w:eastAsia="黑体" w:cs="黑体"/>
          <w:color w:val="000000" w:themeColor="text1"/>
          <w:szCs w:val="21"/>
          <w:lang w:val="en-US" w:eastAsia="zh-CN"/>
          <w14:textFill>
            <w14:solidFill>
              <w14:schemeClr w14:val="tx1"/>
            </w14:solidFill>
          </w14:textFill>
        </w:rPr>
        <w:t>类</w:t>
      </w:r>
    </w:p>
    <w:p w14:paraId="13F18ED1">
      <w:pPr>
        <w:pStyle w:val="88"/>
      </w:pPr>
      <w:r>
        <w:t>5</w:t>
      </w:r>
      <w:r>
        <w:rPr>
          <w:rFonts w:hint="eastAsia"/>
        </w:rPr>
        <w:t>.3.1 质量管理模块</w:t>
      </w:r>
    </w:p>
    <w:p w14:paraId="350091A9">
      <w:pPr>
        <w:pStyle w:val="90"/>
      </w:pPr>
      <w:r>
        <w:rPr>
          <w:rFonts w:hint="eastAsia"/>
        </w:rPr>
        <w:t>1 质量方案管理</w:t>
      </w:r>
    </w:p>
    <w:p w14:paraId="71E0E0E6">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（1）应实现质量方案信息管理、维护和查询；</w:t>
      </w:r>
    </w:p>
    <w:p w14:paraId="5B20D5F5">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（2）应按业务流程完成各类质量方案审批，审批宜实现电子签章或签名；</w:t>
      </w:r>
    </w:p>
    <w:p w14:paraId="15BD0254">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（3) 质量方案信息应包括方案名称、方案类型、简述、编制人、编制日期、审核人、审核时间、审核意见、方案审批人、审批时间、审批意见、附件；</w:t>
      </w:r>
    </w:p>
    <w:p w14:paraId="0F0F20B1">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（4）质量方案相关信息应上传项目平台，宜上传企业、行业平台。</w:t>
      </w:r>
    </w:p>
    <w:p w14:paraId="5265E76A">
      <w:pPr>
        <w:pStyle w:val="90"/>
      </w:pPr>
      <w:r>
        <w:rPr>
          <w:rFonts w:hint="eastAsia"/>
        </w:rPr>
        <w:t>2 日常质量巡检</w:t>
      </w:r>
    </w:p>
    <w:p w14:paraId="2A6BA16E">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（1）应实现质量巡检问题录入、处理、验收销项，并实现随机和定期巡检；</w:t>
      </w:r>
    </w:p>
    <w:p w14:paraId="7E1CBD38">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 质量巡检问题宜与图纸、模型等关联，可通过图纸、模型动态展示分布情况；</w:t>
      </w:r>
    </w:p>
    <w:p w14:paraId="2F93F964">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（3）宜实现按问题类型、问题级别、紧急程度、问题部位等多角度数据分析、展现，为提高质量管理效率提供帮助信息；</w:t>
      </w:r>
    </w:p>
    <w:p w14:paraId="5AD34878">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（4）对巡查问题进行验收，有整改完成情况统计分析及问题源统计分析功能，支持固定巡检部位定位打卡和巡检人员身份信息比对，形成有效闭环管理；</w:t>
      </w:r>
    </w:p>
    <w:p w14:paraId="769006F2">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（5) 影响结构安全和重要使用功能的巡查问题及整改信息应上传项目、企业、行业平台；</w:t>
      </w:r>
    </w:p>
    <w:p w14:paraId="0E676C93">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（6) 质量巡检及整改信息应包括巡检人、巡检时间、巡检部位、问题描述、问题类型、问题级别、紧急程度、整改人、整改完成时间、整改结论、整改效果说明、复检时间、复检人、复检结论、附件信息。</w:t>
      </w:r>
    </w:p>
    <w:p w14:paraId="30BD0437">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（7）质量巡查问题应在项目平台实时记录，并应上传企业平台、行业平台；</w:t>
      </w:r>
    </w:p>
    <w:p w14:paraId="5E579063">
      <w:pPr>
        <w:pStyle w:val="90"/>
      </w:pPr>
      <w:r>
        <w:rPr>
          <w:rFonts w:hint="eastAsia"/>
        </w:rPr>
        <w:t>3 企业质量检查</w:t>
      </w:r>
    </w:p>
    <w:p w14:paraId="604B2112">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（1）应满足企业检查内容、标准、评分规则的需求，对检查结果可自动进行得分统计与项目排名；</w:t>
      </w:r>
    </w:p>
    <w:p w14:paraId="3D409A16">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（2）企业质量检查信息应包括检查类型、检查频次、检查时间、检查组长、检查人员、检查隐患通知及回复、整改负责人、整改完成时间、整改结果、补充说明、复查时间、复查人、复检结论、附件信息。</w:t>
      </w:r>
    </w:p>
    <w:p w14:paraId="72642311">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4 日常质量验收及旁站</w:t>
      </w:r>
    </w:p>
    <w:p w14:paraId="06A244A8">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（1）宜实现监理人员、施工方验收过程中的工作痕迹的管理；宜实现发起和接收验收、旁站申请。</w:t>
      </w:r>
    </w:p>
    <w:p w14:paraId="1A308FB7">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（2）宜实现现场质量分项报验、旁站申请；宜实现远程实时查询验收、旁站采集信息。</w:t>
      </w:r>
    </w:p>
    <w:p w14:paraId="5406192D">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（3）宜实现监理人员接收报验、旁站的申请；宜实现通过手持设备即时填写旁站信息单、拍照和数据上传。</w:t>
      </w:r>
    </w:p>
    <w:p w14:paraId="0900A7F2">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（4）宜实现对采集的验收数据进行汇总分析；宜实现移动设备离线模式处理数据。</w:t>
      </w:r>
    </w:p>
    <w:p w14:paraId="7937A529">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（5）宜实现问题的追责，旁站宜实现轮换提醒功能。</w:t>
      </w:r>
    </w:p>
    <w:p w14:paraId="66C80336">
      <w:pPr>
        <w:pStyle w:val="90"/>
      </w:pPr>
      <w:r>
        <w:rPr>
          <w:rFonts w:hint="eastAsia"/>
        </w:rPr>
        <w:t>5 质量资料数字管理</w:t>
      </w:r>
    </w:p>
    <w:p w14:paraId="22302F6C">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（1）应实现建筑工程质量资料的收集、汇总、管理、维护和查询；</w:t>
      </w:r>
    </w:p>
    <w:p w14:paraId="2D97FEEE">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（2）宜实现电子化文档上传，按业务功能及审批流程形成施工组织、技术资料、过程资料、物资资料及其他相关质量资料，流程审批宜跨越建设、施工、监理、设计、勘察及分包等不同参与单位组织结构。</w:t>
      </w:r>
    </w:p>
    <w:p w14:paraId="3B1BA8E2">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（3）宜实现电子签章或签名；</w:t>
      </w:r>
    </w:p>
    <w:p w14:paraId="2F2AB753">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（4）宜实现按工程建设进度不同阶段整理、归档及移交；</w:t>
      </w:r>
    </w:p>
    <w:p w14:paraId="14C7C119">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（5）宜实现质量技术交底、设计变更、实测实量、质量验收等资料的整理、归档；</w:t>
      </w:r>
    </w:p>
    <w:p w14:paraId="4E479CAB">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（6）应实现远程实时调取查看，并支持移动端实时查询；</w:t>
      </w:r>
    </w:p>
    <w:p w14:paraId="2C523BFE">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7）质量资料应包含材料设备质量证明文件、检验验收、隐蔽验收、功能检验、单位工程及分部分项检验批质量验收等资料，质量资料宜包含工程前期资料、监理文件、竣工图和必要的工程声像资料，宜与质量检测等系统实现数据互通、信息共享；</w:t>
      </w:r>
    </w:p>
    <w:p w14:paraId="69D43A04">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（8）质量资料信息数据应符合《建筑工程（建筑与结构工程）施工资料管理规程》(DB37/T 5072)、《建筑工程（建筑设备、安装与节能工程）施工资料管理规程》(DB37/T 5073)相关规定。</w:t>
      </w:r>
    </w:p>
    <w:p w14:paraId="0DC294E1">
      <w:pPr>
        <w:pStyle w:val="90"/>
      </w:pPr>
      <w:r>
        <w:rPr>
          <w:rFonts w:hint="eastAsia"/>
        </w:rPr>
        <w:t xml:space="preserve">6 质量风险分级管控  </w:t>
      </w:r>
    </w:p>
    <w:p w14:paraId="7CD64504">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（1）应实现质量风险分级管控的管理、维护和查询；</w:t>
      </w:r>
    </w:p>
    <w:p w14:paraId="43229D05">
      <w:pPr>
        <w:pStyle w:val="90"/>
        <w:rPr>
          <w:color w:val="000000" w:themeColor="text1"/>
          <w14:textFill>
            <w14:solidFill>
              <w14:schemeClr w14:val="tx1"/>
            </w14:solidFill>
          </w14:textFill>
        </w:rPr>
      </w:pPr>
      <w:r>
        <w:rPr>
          <w:rFonts w:hint="eastAsia"/>
          <w:color w:val="000000" w:themeColor="text1"/>
          <w14:textFill>
            <w14:solidFill>
              <w14:schemeClr w14:val="tx1"/>
            </w14:solidFill>
          </w14:textFill>
        </w:rPr>
        <w:t>（2）质量风险管控应包括质量风险辨识，质量风险等级评定，质量风险台账、整改措施、检查管理等；</w:t>
      </w:r>
    </w:p>
    <w:p w14:paraId="21EE985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隐患排查管理应包括风险源库管理、质量检查计划管理、拍照和短视频录制、生成和推送整改通知单等；</w:t>
      </w:r>
    </w:p>
    <w:p w14:paraId="59562A8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（4）应实现质量风险管控检查数据的统计、查询、分析、预警和推送；</w:t>
      </w:r>
    </w:p>
    <w:p w14:paraId="59AB35D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（5）宜实现远程实时查看整改完成情况、督促整改情况；</w:t>
      </w:r>
    </w:p>
    <w:p w14:paraId="183E6CE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应实现风险分级管控的闭环管理；</w:t>
      </w:r>
    </w:p>
    <w:p w14:paraId="2DE498E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（7）重大风险源信息应上传至项目平台、企业平台、行业平台；</w:t>
      </w:r>
    </w:p>
    <w:p w14:paraId="35CBD97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（8) 重大风险源信息应包括项目名称、风险源名称、风险源部位、风险等级、风险描述、风险排查计划、管控措施、责任人、过程排查记录。</w:t>
      </w:r>
    </w:p>
    <w:p w14:paraId="6861D55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 质量过程资料可视化管理</w:t>
      </w:r>
    </w:p>
    <w:p w14:paraId="0C4225CD">
      <w:pPr>
        <w:pStyle w:val="38"/>
        <w:numPr>
          <w:ilvl w:val="0"/>
          <w:numId w:val="3"/>
        </w:numPr>
        <w:spacing w:line="360" w:lineRule="auto"/>
        <w:ind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应实现对关键工序的全过程视频监控、追溯；</w:t>
      </w:r>
    </w:p>
    <w:p w14:paraId="60B0EFFA">
      <w:pPr>
        <w:pStyle w:val="38"/>
        <w:numPr>
          <w:ilvl w:val="0"/>
          <w:numId w:val="3"/>
        </w:numPr>
        <w:spacing w:line="360" w:lineRule="auto"/>
        <w:ind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应实现对隐蔽工程的全过程视频监控，视频影像文件按照资料管理要求进行管理。</w:t>
      </w:r>
    </w:p>
    <w:p w14:paraId="7EF34719">
      <w:pPr>
        <w:pStyle w:val="88"/>
      </w:pPr>
      <w:r>
        <w:t>5</w:t>
      </w:r>
      <w:r>
        <w:rPr>
          <w:rFonts w:hint="eastAsia"/>
        </w:rPr>
        <w:t>.3.2 试块智能管理</w:t>
      </w:r>
    </w:p>
    <w:p w14:paraId="55FB7EE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应实现实时监测标养箱或标样室内温度、湿度。</w:t>
      </w:r>
    </w:p>
    <w:p w14:paraId="2C3FF7E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施工现场标养箱或标养室宜使用智能控制系统，对温度、湿度进行持续监测，实时上传、统计、分析相关数据，超出阈值自动报警并智能控制调节回正常数值。</w:t>
      </w:r>
    </w:p>
    <w:p w14:paraId="2D1705A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宜与视频监控相结合，拍摄并留存标养箱或标养室运行状况、试块进出箱室情况，试块进出箱室时，主动将其标识等特征信息向摄像设备展现。</w:t>
      </w:r>
    </w:p>
    <w:p w14:paraId="6741C21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试块进出管理宜实现试块形成唯一性标识，试块出箱时间到期自动提醒并推送至平台和现场管理人员。</w:t>
      </w:r>
    </w:p>
    <w:p w14:paraId="60C00369">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5 </w:t>
      </w:r>
      <w:r>
        <w:rPr>
          <w:rFonts w:hint="eastAsia" w:hAnsi="宋体" w:cs="宋体"/>
          <w:color w:val="000000" w:themeColor="text1"/>
          <w:kern w:val="2"/>
          <w:szCs w:val="21"/>
          <w14:textFill>
            <w14:solidFill>
              <w14:schemeClr w14:val="tx1"/>
            </w14:solidFill>
          </w14:textFill>
        </w:rPr>
        <w:t>每日不少于两次对温、湿度是否符合标准进行复核，并记录复核信息，对混凝土强度检测实时采集、对标、分析。</w:t>
      </w:r>
    </w:p>
    <w:p w14:paraId="414FB42D">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6 </w:t>
      </w:r>
      <w:r>
        <w:rPr>
          <w:rFonts w:hint="eastAsia" w:hAnsi="宋体" w:cs="宋体"/>
          <w:color w:val="000000" w:themeColor="text1"/>
          <w:kern w:val="2"/>
          <w:szCs w:val="21"/>
          <w14:textFill>
            <w14:solidFill>
              <w14:schemeClr w14:val="tx1"/>
            </w14:solidFill>
          </w14:textFill>
        </w:rPr>
        <w:t>实现与智慧物料管理系统联动实现进场物料及时受检，确保现场使用物料合格。</w:t>
      </w:r>
    </w:p>
    <w:p w14:paraId="29C004CE">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7 </w:t>
      </w:r>
      <w:r>
        <w:rPr>
          <w:rFonts w:hint="eastAsia" w:hAnsi="宋体" w:cs="宋体"/>
          <w:color w:val="000000" w:themeColor="text1"/>
          <w:kern w:val="2"/>
          <w:szCs w:val="21"/>
          <w14:textFill>
            <w14:solidFill>
              <w14:schemeClr w14:val="tx1"/>
            </w14:solidFill>
          </w14:textFill>
        </w:rPr>
        <w:t>平台应自动记录实时监测、报警、复核和视频信息，报警、复核信息应上传企业、行业平台，视频信息宜上传企业、行业平台。</w:t>
      </w:r>
    </w:p>
    <w:p w14:paraId="4685203D">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8 </w:t>
      </w:r>
      <w:r>
        <w:rPr>
          <w:rFonts w:hint="eastAsia" w:hAnsi="宋体" w:cs="宋体"/>
          <w:color w:val="000000" w:themeColor="text1"/>
          <w:kern w:val="2"/>
          <w:szCs w:val="21"/>
          <w14:textFill>
            <w14:solidFill>
              <w14:schemeClr w14:val="tx1"/>
            </w14:solidFill>
          </w14:textFill>
        </w:rPr>
        <w:t>形成温湿度按日复核、试块进出箱室台帐，并按《山东省建筑工程技术资料规程》表格式样形成技术资料并归档。</w:t>
      </w:r>
    </w:p>
    <w:p w14:paraId="7C328FFC">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9 </w:t>
      </w:r>
      <w:r>
        <w:rPr>
          <w:rFonts w:hint="eastAsia" w:hAnsi="宋体" w:cs="宋体"/>
          <w:color w:val="000000" w:themeColor="text1"/>
          <w:kern w:val="2"/>
          <w:szCs w:val="21"/>
          <w14:textFill>
            <w14:solidFill>
              <w14:schemeClr w14:val="tx1"/>
            </w14:solidFill>
          </w14:textFill>
        </w:rPr>
        <w:t>数据信息应保存至工程竣工验收合格后</w:t>
      </w:r>
      <w:r>
        <w:rPr>
          <w:rFonts w:hAnsi="宋体" w:cs="宋体"/>
          <w:color w:val="000000" w:themeColor="text1"/>
          <w:kern w:val="2"/>
          <w:szCs w:val="21"/>
          <w14:textFill>
            <w14:solidFill>
              <w14:schemeClr w14:val="tx1"/>
            </w14:solidFill>
          </w14:textFill>
        </w:rPr>
        <w:t>。</w:t>
      </w:r>
    </w:p>
    <w:p w14:paraId="3ACAAFDB">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10 </w:t>
      </w:r>
      <w:r>
        <w:rPr>
          <w:rFonts w:hint="eastAsia" w:hAnsi="宋体" w:cs="宋体"/>
          <w:color w:val="000000" w:themeColor="text1"/>
          <w:kern w:val="2"/>
          <w:szCs w:val="21"/>
          <w14:textFill>
            <w14:solidFill>
              <w14:schemeClr w14:val="tx1"/>
            </w14:solidFill>
          </w14:textFill>
        </w:rPr>
        <w:t>出箱信息应包括试块编号、材料类型、试块类型、强度等级、抗渗等级、成型日期、代表部位、代表方量、入箱时间、出箱时间、检测报告编号、检测单位、检测数据、检测结论、补充信息及相关附件。</w:t>
      </w:r>
    </w:p>
    <w:p w14:paraId="0CC94166">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11 </w:t>
      </w:r>
      <w:r>
        <w:rPr>
          <w:rFonts w:hint="eastAsia" w:hAnsi="宋体" w:cs="宋体"/>
          <w:color w:val="000000" w:themeColor="text1"/>
          <w:kern w:val="2"/>
          <w:szCs w:val="21"/>
          <w14:textFill>
            <w14:solidFill>
              <w14:schemeClr w14:val="tx1"/>
            </w14:solidFill>
          </w14:textFill>
        </w:rPr>
        <w:t>标养箱或标养室复核信息应包括标养箱室编号、标养箱室名称、日期、时间、温度、湿度、箱内情况照片、复核人、复核结论、补充信息。</w:t>
      </w:r>
    </w:p>
    <w:p w14:paraId="1FDE9B8E">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 xml:space="preserve">12 </w:t>
      </w:r>
      <w:r>
        <w:rPr>
          <w:rFonts w:hint="eastAsia" w:hAnsi="宋体" w:cs="宋体"/>
          <w:color w:val="000000" w:themeColor="text1"/>
          <w:kern w:val="2"/>
          <w:szCs w:val="21"/>
          <w14:textFill>
            <w14:solidFill>
              <w14:schemeClr w14:val="tx1"/>
            </w14:solidFill>
          </w14:textFill>
        </w:rPr>
        <w:t>报警信息应包括标养箱或标养室编号、温湿度阈值、实际温度、湿度、时间等。</w:t>
      </w:r>
    </w:p>
    <w:p w14:paraId="3A026496">
      <w:pPr>
        <w:pStyle w:val="88"/>
      </w:pPr>
      <w:r>
        <w:t>5</w:t>
      </w:r>
      <w:r>
        <w:rPr>
          <w:rFonts w:hint="eastAsia"/>
        </w:rPr>
        <w:t>.3.3 智慧化分户验收</w:t>
      </w:r>
    </w:p>
    <w:p w14:paraId="08D9ABB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应制定分户验收实施方案，项目平台宜实现方案流程审批和方案管理。</w:t>
      </w:r>
    </w:p>
    <w:p w14:paraId="219CF0BC">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应实现智慧化分户验收组的成员管理，防止冒名顶替现象。</w:t>
      </w:r>
    </w:p>
    <w:p w14:paraId="1CCC15B2">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ab/>
      </w:r>
      <w:r>
        <w:rPr>
          <w:rFonts w:hint="eastAsia" w:hAnsi="宋体" w:cs="宋体"/>
          <w:color w:val="000000" w:themeColor="text1"/>
          <w:kern w:val="2"/>
          <w:szCs w:val="21"/>
          <w14:textFill>
            <w14:solidFill>
              <w14:schemeClr w14:val="tx1"/>
            </w14:solidFill>
          </w14:textFill>
        </w:rPr>
        <w:t>（1）建设单位对相关人员授权后组成验收组，每个验收人员工作职责、可验收的内容应明确。</w:t>
      </w:r>
    </w:p>
    <w:p w14:paraId="5C690662">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ab/>
      </w:r>
      <w:r>
        <w:rPr>
          <w:rFonts w:hint="eastAsia" w:hAnsi="宋体" w:cs="宋体"/>
          <w:color w:val="000000" w:themeColor="text1"/>
          <w:kern w:val="2"/>
          <w:szCs w:val="21"/>
          <w14:textFill>
            <w14:solidFill>
              <w14:schemeClr w14:val="tx1"/>
            </w14:solidFill>
          </w14:textFill>
        </w:rPr>
        <w:t>（2）验收工作可以根据验收内容的不同，应在主体和竣工等不同建造阶段、时间实施。</w:t>
      </w:r>
    </w:p>
    <w:p w14:paraId="4426CAB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宜实现维护验收户别及每户验收内容信息的收集。</w:t>
      </w:r>
    </w:p>
    <w:p w14:paraId="1F3AFA7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验收人员在验收工作前宜通过信息技术手段实现系统验证。验收过程中宜实现技术定位验收部位；当不具备定位条件或定位误差较大时，应实现施工图标识定位，记录标识时间、标识人等信息。</w:t>
      </w:r>
    </w:p>
    <w:p w14:paraId="34A84F7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分户验收功能应同时支持各种终端的操作，逐项录入验收内容、验收结果，并按分户验收要求拍照，或即时录制视频上传。照片、视频宜按户别、表现内容、序号形成文件名或描述信息。验收数据实现参建各方共享，并上传至项目、企业、行业平台。</w:t>
      </w:r>
    </w:p>
    <w:p w14:paraId="37FE9CE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每个户别的全部验收内容均验收通过后，才可确认该户验收结果。每个单位工程所有户别均确认验收通过后，才可确认单位工程验收通过。生成相应的户别和单位工程验收结论。</w:t>
      </w:r>
    </w:p>
    <w:p w14:paraId="3DD6BEC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 分户验收结论应能按户进行统计、汇总、聚合验收资料，形成一户一档验收档案。验收资料应实现电子签名。一户一档验收档案与建设单位分户验收信息公示实现数据共享。建设单位宜通过向最终用户分发的二维码，实现按授权扫码查看分户验收资料。8 分户验收信息应包括项目信息、分户信息、验收人、验收时间、验收内容明细、验收结果、分户验收文件、轴线位置、垂直度、平整度、标高、截面尺寸、板厚、开间尺寸、进深尺寸、室内净高等。</w:t>
      </w:r>
    </w:p>
    <w:p w14:paraId="7261EF92">
      <w:pPr>
        <w:pStyle w:val="88"/>
      </w:pPr>
      <w:r>
        <w:t>5</w:t>
      </w:r>
      <w:r>
        <w:rPr>
          <w:rFonts w:hint="eastAsia"/>
        </w:rPr>
        <w:t>.3.4 业主开放活动智能化</w:t>
      </w:r>
    </w:p>
    <w:p w14:paraId="3230A9F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应实现线上邀约、预约、在线反馈。</w:t>
      </w:r>
    </w:p>
    <w:p w14:paraId="0FF5B21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（1）建设单位应在线上设定开放活动时间段，由业主线上自主选择验房时间；</w:t>
      </w:r>
    </w:p>
    <w:p w14:paraId="5FBCEC4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（2）应实现业主在开放活动、收房过程中及验收后都可反馈信息。建设单位应线上及时回应，做到闭环管理。</w:t>
      </w:r>
    </w:p>
    <w:p w14:paraId="6DC118D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开放活动应实现与分户验收一户一档档案资料关联，动态查询并向业主表现验收人员、人员资质、验收内容、验收结果以及分户验收过程中收集的视频、图像资料，收集并记录业主意见与建议。</w:t>
      </w:r>
    </w:p>
    <w:p w14:paraId="23E1C62C">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应实现分批、分次组织业主验房，为业主提供方便快捷的线上、线下或线上线下相结合的不同验房体验方式。</w:t>
      </w:r>
    </w:p>
    <w:p w14:paraId="277C3AF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业主开放活动信息应包括项目信息、户别信息、业主信息、验房时间、业主关注问题、答复人、答复内容、答复时间、是否解决、业主满意情况等。</w:t>
      </w:r>
    </w:p>
    <w:p w14:paraId="63EEB2F3">
      <w:pPr>
        <w:pStyle w:val="88"/>
      </w:pPr>
      <w:r>
        <w:t>5</w:t>
      </w:r>
      <w:r>
        <w:rPr>
          <w:rFonts w:hint="eastAsia"/>
        </w:rPr>
        <w:t>.3.5 检验检测管理</w:t>
      </w:r>
    </w:p>
    <w:p w14:paraId="57540E5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应实现见证人员、委托检测、见证取样、送检、检验结果、不合格品处理等的智能管理。</w:t>
      </w:r>
    </w:p>
    <w:p w14:paraId="4EB6CEF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取样、见证人员在工作前应通过各种信息手段实现身份认证并通过系统验证，取样、委托检测及其见证时应通过GPS技术定位取样、委托位置。取样定位超出工地范围、委托定位超出合理委托范围应报警；建设单位落实处理报警事件。</w:t>
      </w:r>
    </w:p>
    <w:p w14:paraId="562E856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取样及其见证时应对样品进行唯一性标识封样，收集留存样品、取样的过程需留存见证视频、图像资料，取样过程记录留存，并应上传项目平台、企业平台、行业平台。</w:t>
      </w:r>
    </w:p>
    <w:p w14:paraId="51C1096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对获取的检测报告、检测数据应实现结果反馈、不合格品处理的智能管理，实现过程记录、查询、统计、分析及预警。混凝土、砂浆标准养护试块检测数据宜与试块试验、试块报告信息关联，按条件汇总试块检测报告，自动完成砼强度评定和强度曲线展现。试块检测报告汇总、强度评定信息可按《山东省建筑工程技术资料规程》表格式样形成技术资料，进行归档。</w:t>
      </w:r>
    </w:p>
    <w:p w14:paraId="759187D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取样、委托及见证信息应包括项目名称、单体名称、样品名称、使用部位、样品图片、样品生产企业名称、检测项目、送检时间、检测结果、检测时间、取样人、取样单位、见证人、见证单位、取样时间、送样人姓名、样品送达时间、定位信息、样品与人同框照片、认证结果、日期时间、试件类型、试件详细信息、照片影像等。</w:t>
      </w:r>
    </w:p>
    <w:p w14:paraId="6B15D08C">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取样、委托检测及其见证过程、检测结果信息应上传项目、企业、行业平台。</w:t>
      </w:r>
    </w:p>
    <w:p w14:paraId="3EEE6B98">
      <w:pPr>
        <w:pStyle w:val="88"/>
      </w:pPr>
      <w:r>
        <w:t>5</w:t>
      </w:r>
      <w:r>
        <w:rPr>
          <w:rFonts w:hint="eastAsia"/>
        </w:rPr>
        <w:t>.3.6 全景成像测距监控</w:t>
      </w:r>
    </w:p>
    <w:p w14:paraId="5BA26CE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施工现场宜配备全景成像测距摄像机，应实现自动扫描、全景拼图、实时测量。</w:t>
      </w:r>
    </w:p>
    <w:p w14:paraId="0137B23C">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宜能对施工现场作业面、重要节点进行自动扫描成像，上传项目平台存储。可对上传项目平台的图像进行全景拼图，形成现场监控面全景图。</w:t>
      </w:r>
    </w:p>
    <w:p w14:paraId="50BD47A4">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测量视频图像、全景拼图宜上传企业平台。</w:t>
      </w:r>
    </w:p>
    <w:p w14:paraId="08723FF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全景成像信息应包括施工作业面位置、钢筋直径、间距、照片等。</w:t>
      </w:r>
    </w:p>
    <w:p w14:paraId="220D90F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全景成像测距设备宜安装在施工现场制高点上，宜全面覆盖施工作业面。</w:t>
      </w:r>
    </w:p>
    <w:p w14:paraId="7D7E6B0D">
      <w:pPr>
        <w:pStyle w:val="88"/>
      </w:pPr>
      <w:r>
        <w:t>5</w:t>
      </w:r>
      <w:r>
        <w:rPr>
          <w:rFonts w:hint="eastAsia"/>
        </w:rPr>
        <w:t>.3.7 信息公示标准化</w:t>
      </w:r>
    </w:p>
    <w:p w14:paraId="75DDDB7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应具备筛选建设过程数据、信息内容，汇总并形成公示内容。内容应在公众平台进行公示。</w:t>
      </w:r>
    </w:p>
    <w:p w14:paraId="5B38527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w:t>
      </w:r>
      <w:r>
        <w:rPr>
          <w:rFonts w:hAnsi="宋体" w:cs="宋体"/>
          <w:color w:val="000000" w:themeColor="text1"/>
          <w:kern w:val="2"/>
          <w:szCs w:val="21"/>
          <w14:textFill>
            <w14:solidFill>
              <w14:schemeClr w14:val="tx1"/>
            </w14:solidFill>
          </w14:textFill>
        </w:rPr>
        <w:t xml:space="preserve"> </w:t>
      </w:r>
      <w:r>
        <w:rPr>
          <w:rFonts w:hint="eastAsia" w:hAnsi="宋体" w:cs="宋体"/>
          <w:color w:val="000000" w:themeColor="text1"/>
          <w:kern w:val="2"/>
          <w:szCs w:val="21"/>
          <w14:textFill>
            <w14:solidFill>
              <w14:schemeClr w14:val="tx1"/>
            </w14:solidFill>
          </w14:textFill>
        </w:rPr>
        <w:t>公示内容应包含智慧化分户验收内容。</w:t>
      </w:r>
    </w:p>
    <w:p w14:paraId="1AC1A0E4">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3</w:t>
      </w:r>
      <w:r>
        <w:rPr>
          <w:rFonts w:hint="eastAsia" w:hAnsi="宋体" w:cs="宋体"/>
          <w:color w:val="000000" w:themeColor="text1"/>
          <w:kern w:val="2"/>
          <w:szCs w:val="21"/>
          <w14:textFill>
            <w14:solidFill>
              <w14:schemeClr w14:val="tx1"/>
            </w14:solidFill>
          </w14:textFill>
        </w:rPr>
        <w:t xml:space="preserve"> 公示内容应上传项目、企业、行业平台。</w:t>
      </w:r>
    </w:p>
    <w:p w14:paraId="1145FAA3">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4</w:t>
      </w:r>
      <w:r>
        <w:rPr>
          <w:rFonts w:hint="eastAsia" w:hAnsi="宋体" w:cs="宋体"/>
          <w:color w:val="000000" w:themeColor="text1"/>
          <w:kern w:val="2"/>
          <w:szCs w:val="21"/>
          <w14:textFill>
            <w14:solidFill>
              <w14:schemeClr w14:val="tx1"/>
            </w14:solidFill>
          </w14:textFill>
        </w:rPr>
        <w:t xml:space="preserve"> 公示内容宜包括：公示标题、公示时间、公示人、公示内容。</w:t>
      </w:r>
    </w:p>
    <w:p w14:paraId="44ACEE58">
      <w:pPr>
        <w:pStyle w:val="88"/>
      </w:pPr>
      <w:r>
        <w:t>5</w:t>
      </w:r>
      <w:r>
        <w:rPr>
          <w:rFonts w:hint="eastAsia"/>
        </w:rPr>
        <w:t>.3.8 VR质量样板</w:t>
      </w:r>
    </w:p>
    <w:p w14:paraId="39408979">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1 应实现VR虚拟现实技术展现质量样板，展现内容宜包括材料、质量模块样板、施工工艺、施工流程、技术特点等，宜在展现内容中设置各类隐患、典型质量通病做法。应不少于</w:t>
      </w:r>
      <w:r>
        <w:rPr>
          <w:rFonts w:hAnsi="宋体" w:cs="宋体"/>
          <w:color w:val="000000" w:themeColor="text1"/>
          <w:kern w:val="2"/>
          <w:szCs w:val="21"/>
          <w14:textFill>
            <w14:solidFill>
              <w14:schemeClr w14:val="tx1"/>
            </w14:solidFill>
          </w14:textFill>
        </w:rPr>
        <w:t>10种</w:t>
      </w:r>
      <w:r>
        <w:rPr>
          <w:rFonts w:hint="eastAsia" w:hAnsi="宋体" w:cs="宋体"/>
          <w:color w:val="000000" w:themeColor="text1"/>
          <w:kern w:val="2"/>
          <w:szCs w:val="21"/>
          <w14:textFill>
            <w14:solidFill>
              <w14:schemeClr w14:val="tx1"/>
            </w14:solidFill>
          </w14:textFill>
        </w:rPr>
        <w:t>常见工艺工法内容。</w:t>
      </w:r>
    </w:p>
    <w:p w14:paraId="7BE6C92F">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2 实现自由放大、远近距离、多角度观摩和学习。</w:t>
      </w:r>
    </w:p>
    <w:p w14:paraId="5FC1154C">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3 应与质量培训、技术交底相结合，实现记录各类人员学习的信息。</w:t>
      </w:r>
    </w:p>
    <w:p w14:paraId="0D5ADCF4">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4 学习信息宜上传项目、企业平台。</w:t>
      </w:r>
    </w:p>
    <w:p w14:paraId="71DB3608">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5 学习信息宜包括培训内容、培训类型、开始时间、培训时长、考核结果、学习单位、培训对象、补充信息等。</w:t>
      </w:r>
    </w:p>
    <w:p w14:paraId="01B4D65C">
      <w:pPr>
        <w:pStyle w:val="88"/>
      </w:pPr>
      <w:r>
        <w:t>5</w:t>
      </w:r>
      <w:r>
        <w:rPr>
          <w:rFonts w:hint="eastAsia"/>
        </w:rPr>
        <w:t>.3.9 大体积混凝土浇筑测温</w:t>
      </w:r>
    </w:p>
    <w:p w14:paraId="119027D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应实现大体积混凝土浇筑温度监测专项方案、实时监测大体积混凝土温度变化的管理。</w:t>
      </w:r>
    </w:p>
    <w:p w14:paraId="62563C1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应按专项方案设置测温点，每个测温点至少应在混凝土浇筑体上、中、下部各设置一个测温元件，且竖向间距不超过0.5米。</w:t>
      </w:r>
    </w:p>
    <w:p w14:paraId="214BA03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宜监测并记录每个测温元件处的混凝土入模温度。</w:t>
      </w:r>
    </w:p>
    <w:p w14:paraId="6D4EF6E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在浇筑完成后开始监测浇筑体温度变化，在升温阶段监测间隔不超过2小时，降温阶段间隔不超过4小时。</w:t>
      </w:r>
    </w:p>
    <w:p w14:paraId="09623B2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浇筑体里表温差升温、降温速率超过预警值进行报警，并将报警信息上传项目、企业、行业平台，同时传达至项目管理人员。</w:t>
      </w:r>
    </w:p>
    <w:p w14:paraId="18852FF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相关人员接到预警或报警信息后，应及时采取有效措施消除报警。报警信息处理结束达到控制效果后，应将相应信息上传项目、企业、行业平台。</w:t>
      </w:r>
    </w:p>
    <w:p w14:paraId="488D47C2">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7</w:t>
      </w:r>
      <w:r>
        <w:rPr>
          <w:rFonts w:hint="eastAsia" w:hAnsi="宋体" w:cs="宋体"/>
          <w:color w:val="000000" w:themeColor="text1"/>
          <w:kern w:val="2"/>
          <w:szCs w:val="21"/>
          <w14:textFill>
            <w14:solidFill>
              <w14:schemeClr w14:val="tx1"/>
            </w14:solidFill>
          </w14:textFill>
        </w:rPr>
        <w:t xml:space="preserve"> 应实现温差、降温速率计算和曲线表现。</w:t>
      </w:r>
    </w:p>
    <w:p w14:paraId="6F06A614">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8</w:t>
      </w:r>
      <w:r>
        <w:rPr>
          <w:rFonts w:hint="eastAsia" w:hAnsi="宋体" w:cs="宋体"/>
          <w:color w:val="000000" w:themeColor="text1"/>
          <w:kern w:val="2"/>
          <w:szCs w:val="21"/>
          <w14:textFill>
            <w14:solidFill>
              <w14:schemeClr w14:val="tx1"/>
            </w14:solidFill>
          </w14:textFill>
        </w:rPr>
        <w:t>测温数据应保存至工程竣工，宜实时上传项目、企业、行业平台。</w:t>
      </w:r>
    </w:p>
    <w:p w14:paraId="6D1E4DD7">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9</w:t>
      </w:r>
      <w:r>
        <w:rPr>
          <w:rFonts w:hint="eastAsia" w:hAnsi="宋体" w:cs="宋体"/>
          <w:color w:val="000000" w:themeColor="text1"/>
          <w:kern w:val="2"/>
          <w:szCs w:val="21"/>
          <w14:textFill>
            <w14:solidFill>
              <w14:schemeClr w14:val="tx1"/>
            </w14:solidFill>
          </w14:textFill>
        </w:rPr>
        <w:t>预警、报警信息应包括入模温度、环境温度、表里温差、降温速率、测温点编号、测点位置、测点温度、浇筑体表面温度、上部温度、中部温度、下部温度、报警类型、数据生成时间。</w:t>
      </w:r>
    </w:p>
    <w:p w14:paraId="3E9D259F">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10</w:t>
      </w:r>
      <w:r>
        <w:rPr>
          <w:rFonts w:hint="eastAsia" w:hAnsi="宋体" w:cs="宋体"/>
          <w:color w:val="000000" w:themeColor="text1"/>
          <w:kern w:val="2"/>
          <w:szCs w:val="21"/>
          <w14:textFill>
            <w14:solidFill>
              <w14:schemeClr w14:val="tx1"/>
            </w14:solidFill>
          </w14:textFill>
        </w:rPr>
        <w:t xml:space="preserve"> 测温数据经相关人员线上确认，宜按《山东省建筑工程技术资料规程》大体积混凝土测温记录式样形成电子报表并归档。</w:t>
      </w:r>
    </w:p>
    <w:p w14:paraId="2DB9099F">
      <w:pPr>
        <w:pStyle w:val="88"/>
      </w:pPr>
      <w:r>
        <w:t>5</w:t>
      </w:r>
      <w:r>
        <w:rPr>
          <w:rFonts w:hint="eastAsia"/>
        </w:rPr>
        <w:t>.3.10 桩基数字化监测</w:t>
      </w:r>
    </w:p>
    <w:p w14:paraId="2EB2EFD4">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应实现方案的信息管理、审批、维护和查询宜实现数字签章。</w:t>
      </w:r>
    </w:p>
    <w:p w14:paraId="21A77468">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2 桩基信息包括工程试验桩、工程桩数量、区域、类型等。</w:t>
      </w:r>
    </w:p>
    <w:p w14:paraId="30296BD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应实现桩基施工过程图片、视频资料的收集。</w:t>
      </w:r>
    </w:p>
    <w:p w14:paraId="401AB11B">
      <w:pPr>
        <w:pStyle w:val="38"/>
        <w:spacing w:line="360" w:lineRule="auto"/>
        <w:ind w:firstLine="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    4 应实现维护检测过程图片、视频和检测结果的收集。</w:t>
      </w:r>
      <w:r>
        <w:rPr>
          <w:rFonts w:hint="eastAsia" w:hAnsi="宋体" w:cs="宋体"/>
          <w:color w:val="000000" w:themeColor="text1"/>
          <w:kern w:val="2"/>
          <w:szCs w:val="21"/>
          <w14:textFill>
            <w14:solidFill>
              <w14:schemeClr w14:val="tx1"/>
            </w14:solidFill>
          </w14:textFill>
        </w:rPr>
        <w:tab/>
      </w:r>
    </w:p>
    <w:p w14:paraId="5B0933C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桩基数字化监测信息应上传项目、企业、行业平台。</w:t>
      </w:r>
    </w:p>
    <w:p w14:paraId="0B13FA0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桩基数字化监测信息应包括桩基区段信息、桩基信息、桩布置信息、检测信息等。</w:t>
      </w:r>
    </w:p>
    <w:p w14:paraId="186C1393">
      <w:pPr>
        <w:pStyle w:val="88"/>
      </w:pPr>
      <w:r>
        <w:t>5</w:t>
      </w:r>
      <w:r>
        <w:rPr>
          <w:rFonts w:hint="eastAsia"/>
        </w:rPr>
        <w:t>.3.11 强夯数字化监测</w:t>
      </w:r>
    </w:p>
    <w:p w14:paraId="05379BE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应实现方案的信息管理、审批、维护和查询，宜实现数字签章。</w:t>
      </w:r>
    </w:p>
    <w:p w14:paraId="416410C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实现维护强夯施工过程图片、视频资料相关文件的收集，并应长期保存。</w:t>
      </w:r>
    </w:p>
    <w:p w14:paraId="36E3AC4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实现维护检测过程图片、视频和检测结果的收集。</w:t>
      </w:r>
    </w:p>
    <w:p w14:paraId="57551CC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强夯数字化监测信息上传项目、企业、行业平台。</w:t>
      </w:r>
    </w:p>
    <w:p w14:paraId="773DB0D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强夯数字化监测信息包括强夯区段信息、强夯设备信息、强夯工艺信息、沉降信息、检测信息等。</w:t>
      </w:r>
    </w:p>
    <w:p w14:paraId="14B725CB">
      <w:pPr>
        <w:pStyle w:val="88"/>
      </w:pPr>
      <w:r>
        <w:t>5</w:t>
      </w:r>
      <w:r>
        <w:rPr>
          <w:rFonts w:hint="eastAsia"/>
        </w:rPr>
        <w:t>.3.12 智能压浆监测系统</w:t>
      </w:r>
    </w:p>
    <w:p w14:paraId="51319B0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宜实现实时监控灌浆压力、灌浆量、构件变形值。</w:t>
      </w:r>
    </w:p>
    <w:p w14:paraId="771499C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宜根据监测数据，自动形成工程数据报表、质量分析表及相关质量曲线等图表。</w:t>
      </w:r>
    </w:p>
    <w:p w14:paraId="6C5B6EE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智能压浆监测信息应包括灌浆构件名称、构件连接类型、套筒类型、套筒数量、压力值、灌浆量、灌浆开始时间、灌浆结束时间、构件变形值、检测报告编号、检测报告名称、检测结论、其他等。</w:t>
      </w:r>
    </w:p>
    <w:p w14:paraId="0AB9B1FE">
      <w:pPr>
        <w:pStyle w:val="88"/>
      </w:pPr>
      <w:r>
        <w:t>5</w:t>
      </w:r>
      <w:r>
        <w:rPr>
          <w:rFonts w:hint="eastAsia"/>
        </w:rPr>
        <w:t>.3.13 智能张拉监测系统</w:t>
      </w:r>
    </w:p>
    <w:p w14:paraId="10EE015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应实现对锚索预应力的实时监测，对预应力值、伸长量等数据实时采集。</w:t>
      </w:r>
    </w:p>
    <w:p w14:paraId="15B5421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宜将监测信息上传项目、企业、行业平台。</w:t>
      </w:r>
    </w:p>
    <w:p w14:paraId="65B43E2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智能张拉信息应包括张拉日期、梁孔编号、理论张拉力、实际张拉力、张拉力误差、理论伸长量、实际伸长量、延伸量误差、张拉时间等。</w:t>
      </w:r>
    </w:p>
    <w:p w14:paraId="4EC10594">
      <w:pPr>
        <w:pStyle w:val="88"/>
      </w:pPr>
      <w:r>
        <w:t>5</w:t>
      </w:r>
      <w:r>
        <w:rPr>
          <w:rFonts w:hint="eastAsia"/>
        </w:rPr>
        <w:t>.3.14 试验室远程监控系统</w:t>
      </w:r>
    </w:p>
    <w:p w14:paraId="5DFFED6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所委托检测机构的试验室管理系统宜实现以下功能：</w:t>
      </w:r>
    </w:p>
    <w:p w14:paraId="3E44A00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（1)对检测数据按项目、时间区段、区域、单位机构、检测类别、检测项目、检测结果等进行实时统计、查询、分析、预警及报警；</w:t>
      </w:r>
    </w:p>
    <w:p w14:paraId="69BC0B2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（2)实现对超认证项目检测、超资质检测、临界数据修改、检测数据不上传等违规行为预警、报警；</w:t>
      </w:r>
    </w:p>
    <w:p w14:paraId="6E05A6FE">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实现检测报告PDF文件存档功能，应实现二维码防伪检测等功能；</w:t>
      </w:r>
    </w:p>
    <w:p w14:paraId="69E462D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接受检测委托时，应对样品唯一性标识进行确认，并对委托过程进行视频录像、存档；</w:t>
      </w:r>
    </w:p>
    <w:p w14:paraId="79AFF89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应自动收集试验过程中送检样品的实验项目检测数据，并进行检测过程数值曲线展现；</w:t>
      </w:r>
    </w:p>
    <w:p w14:paraId="6EDFAA3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上传检测数据、检测报告、预警、报警信息及与结构工程相关的不合格信息至相应检测系统行业或政府监管平台，宜推送至项目平台、企业平台、行业平台；</w:t>
      </w:r>
    </w:p>
    <w:p w14:paraId="1590F9A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（7）报警信息包括报警时间、报警项目、报警级别、报警内容、使用部位；</w:t>
      </w:r>
    </w:p>
    <w:p w14:paraId="75C5A1F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（8）实现实验委托、见证等各方通过网页、移动端对检测委托过程、样品室、检测试验工作面进行视频查看、录像回放功能。</w:t>
      </w:r>
    </w:p>
    <w:p w14:paraId="39E3E3C4">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宜通过互联网技术手段获得检测报告、检测数据及相应预警、报警信息。</w:t>
      </w:r>
    </w:p>
    <w:p w14:paraId="76A5981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应通过项目平台实现对委托实验的检测机构存放样品的样品室、检测试验过程进行视频查看、录像回放。</w:t>
      </w:r>
    </w:p>
    <w:p w14:paraId="49C7910D">
      <w:pPr>
        <w:pStyle w:val="88"/>
      </w:pPr>
      <w:r>
        <w:t>5</w:t>
      </w:r>
      <w:r>
        <w:rPr>
          <w:rFonts w:hint="eastAsia"/>
        </w:rPr>
        <w:t>.3.15 拌合站远程监控系统</w:t>
      </w:r>
    </w:p>
    <w:p w14:paraId="081487A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所采购预拌混凝土拌合站的生产管理系统宜实现以下功能：</w:t>
      </w:r>
    </w:p>
    <w:p w14:paraId="16A4C2A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（1)实现对原材料管理，宜按原材料批次进行进场、检测、使用及相关工程信息进行数据归集；</w:t>
      </w:r>
    </w:p>
    <w:p w14:paraId="49CD126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（2)应实现基于试验室配合比、石子、砂子含水率进行动态调整的拌合用配合比管理功能；</w:t>
      </w:r>
    </w:p>
    <w:p w14:paraId="5B47018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（3)应实现对混凝土拌台投料数据进行实时采集，并与拌合用配合比比对、分析；当差值超限时报警，并将报警信息通知管理人员，上传项目、企业、行业平台；</w:t>
      </w:r>
    </w:p>
    <w:p w14:paraId="4E12A6A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（4)应实现对混凝土搅拌运输车出厂时间、进场时间、开始卸料时间、结束卸料时间等数据进行采集，对超出初凝时间的混凝土进行预警；</w:t>
      </w:r>
    </w:p>
    <w:p w14:paraId="3C8F61B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（5)应实现混凝土拌合报警信息上传至混凝土行业或政府监管平台，宜推送至项目、企业、行业平台；</w:t>
      </w:r>
    </w:p>
    <w:p w14:paraId="63A5045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（6)混凝土拌合报警信息包括拌合站名称、砼强度等级、单位工程、工程部位、试验室配合比、施工配合比、材料名称、材料标准重量、实际重量、允许误差、实际误差、报警级别、报警时间；</w:t>
      </w:r>
    </w:p>
    <w:p w14:paraId="0EE0DE1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（7)拌合站生产管理人员获悉报警信息后应及时处理，处理完毕后维护混凝土行业或政府监管平台相应信息，做到闭环管理，宜推送至项目、企业、行业平台。</w:t>
      </w:r>
    </w:p>
    <w:p w14:paraId="12E5595E">
      <w:pPr>
        <w:pStyle w:val="38"/>
        <w:spacing w:line="360" w:lineRule="auto"/>
        <w:ind w:firstLine="42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建设、监理、施工单位应对进场混凝土塌落度、外观质量、氯离子（碱）含量等项目进行验收，并对进场时间、开始卸料时间、结束卸料时间等数据进行确认。对超出初凝时间的混凝土进行预警。</w:t>
      </w:r>
    </w:p>
    <w:p w14:paraId="03A2340F">
      <w:pPr>
        <w:pStyle w:val="38"/>
        <w:spacing w:line="360" w:lineRule="auto"/>
        <w:ind w:firstLine="420" w:firstLineChars="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超初凝时间报警信息包括商砼站名称、砼强度等级、单位工程、工程部位、出厂时间、进场时间、开始卸料时间、结束卸料时间、初凝控制时长、卸料结束前实际时长、报警级别、报警时间。相关单位管理人员应及时处理超初凝时间报警信息，处理完毕后及时提交项目平台、企业平台、行业平台。宜推送至混凝土行业或政府监管平台。</w:t>
      </w:r>
    </w:p>
    <w:p w14:paraId="00B3CCD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应实现网页端、移动端等实现对混凝土原材料、生产过程、检测过程、配合比信息、投料数据、检测数据等进行查看、录像回放。</w:t>
      </w:r>
    </w:p>
    <w:p w14:paraId="7D666EB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应实现对混凝土罐车进行GPS定位，并对司机驾驶室画面进行监控。</w:t>
      </w:r>
    </w:p>
    <w:p w14:paraId="5DB2565B">
      <w:pPr>
        <w:pStyle w:val="88"/>
      </w:pPr>
      <w:r>
        <w:t>5</w:t>
      </w:r>
      <w:r>
        <w:rPr>
          <w:rFonts w:hint="eastAsia"/>
        </w:rPr>
        <w:t>.3.16 建筑物沉降监测</w:t>
      </w:r>
    </w:p>
    <w:p w14:paraId="1DA7CAA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根据设计和方案要求，宜对现场基础施工完成后布设沉降自动监测系统，持续监测各监测点的沉降量。</w:t>
      </w:r>
    </w:p>
    <w:p w14:paraId="4915801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应实现对累计沉降量、沉降差、沉降速率的自动计算，数据自动上传，超过阈值自动报警等。</w:t>
      </w:r>
    </w:p>
    <w:p w14:paraId="58DEF67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沉降自动监测信息包括测点编号、测点位置、沉降量、数据生成时间等。</w:t>
      </w:r>
    </w:p>
    <w:p w14:paraId="7CA35CAB">
      <w:pPr>
        <w:pStyle w:val="88"/>
      </w:pPr>
      <w:r>
        <w:t>5</w:t>
      </w:r>
      <w:r>
        <w:rPr>
          <w:rFonts w:hint="eastAsia"/>
        </w:rPr>
        <w:t xml:space="preserve">.3.17 智能实测实量 </w:t>
      </w:r>
    </w:p>
    <w:p w14:paraId="222719F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宜实现通过物联网智能化设备采集质量数据，实时记录实测实量数据，数据包括不限于混凝土强度、钢筋保护层、垂直度、平整度、角度、距离、楼板厚度、钢筋间距、结构位置、尺寸偏差等。</w:t>
      </w:r>
    </w:p>
    <w:p w14:paraId="7B738B0B">
      <w:pPr>
        <w:spacing w:line="360" w:lineRule="auto"/>
        <w:ind w:firstLine="420" w:firstLineChars="200"/>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 xml:space="preserve"> 实体检验信息应包括检验部位、检验时间、检验人、推定要求、标准数值、检验数值、标准数值对比差、偏差百分比等。</w:t>
      </w:r>
    </w:p>
    <w:p w14:paraId="511BC65C">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3</w:t>
      </w:r>
      <w:r>
        <w:rPr>
          <w:rFonts w:hint="eastAsia" w:hAnsi="宋体" w:cs="宋体"/>
          <w:color w:val="000000" w:themeColor="text1"/>
          <w:kern w:val="2"/>
          <w:szCs w:val="21"/>
          <w14:textFill>
            <w14:solidFill>
              <w14:schemeClr w14:val="tx1"/>
            </w14:solidFill>
          </w14:textFill>
        </w:rPr>
        <w:t xml:space="preserve"> 检验信息应实现自动分析，实时上传、存储、统计、分析检测数据，超出阈值自动报警，宜通过粘贴二维码在现场标示。</w:t>
      </w:r>
    </w:p>
    <w:p w14:paraId="5581C004">
      <w:pPr>
        <w:pStyle w:val="88"/>
        <w:spacing w:line="360" w:lineRule="auto"/>
      </w:pPr>
      <w:r>
        <w:t>5</w:t>
      </w:r>
      <w:r>
        <w:rPr>
          <w:rFonts w:hint="eastAsia"/>
        </w:rPr>
        <w:t xml:space="preserve">.3.18 质量成果管理 </w:t>
      </w:r>
    </w:p>
    <w:p w14:paraId="6DB030D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应实现质量各类成果的综合整合分析管理，包括过程成果、科技成果统计与分析等。</w:t>
      </w:r>
    </w:p>
    <w:p w14:paraId="1B4DBA3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质量成果包含对现场施工方案审批情况统计及分析、施工方案交底情况统计分析、已获得科技成果统计及分析、展示智能标养室连续自动的在线监测；宜实现测量管理、试验管理、工程资料管理的结果统计分析、不合格品报告处理及复核；对现场采用的施工方案、危大工程方案的审批情况、完成情况进行复核、监控和采集，应满足地方监管部门要求。</w:t>
      </w:r>
    </w:p>
    <w:p w14:paraId="0FEC8B7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通过质量成果管理的应用，实现施工方案实施及交底情况数据实时采集，对于不符合质量标准要求情况的不稳定因素实时监管与处置，减少不按方案施工情况发生。</w:t>
      </w:r>
    </w:p>
    <w:p w14:paraId="00AE5D4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科技成果数据宜包含专利、工法、五小成果、技术总结、科技进步奖及其他成果等。宜打通与各级各类成果展示平台接口，实现实时获取功能。</w:t>
      </w:r>
    </w:p>
    <w:p w14:paraId="3C3C02A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质量成果管理相关信息应上传项目、企业、行业平台。</w:t>
      </w:r>
    </w:p>
    <w:p w14:paraId="653E35BA">
      <w:pPr>
        <w:pStyle w:val="40"/>
        <w:ind w:firstLine="0" w:firstLineChars="0"/>
        <w:jc w:val="center"/>
        <w:outlineLvl w:val="1"/>
        <w:rPr>
          <w:rFonts w:hint="eastAsia" w:ascii="黑体" w:hAnsi="黑体" w:eastAsia="黑体" w:cs="黑体"/>
          <w:color w:val="000000" w:themeColor="text1"/>
          <w:szCs w:val="21"/>
          <w:lang w:val="en-US" w:eastAsia="zh-CN"/>
          <w14:textFill>
            <w14:solidFill>
              <w14:schemeClr w14:val="tx1"/>
            </w14:solidFill>
          </w14:textFill>
        </w:rPr>
      </w:pPr>
      <w:bookmarkStart w:id="96" w:name="_Toc27340"/>
      <w:bookmarkStart w:id="97" w:name="_Toc153316364"/>
      <w:bookmarkStart w:id="98" w:name="_Toc150548826"/>
      <w:bookmarkStart w:id="99" w:name="_Toc9018"/>
      <w:bookmarkStart w:id="100" w:name="_Toc149385799"/>
      <w:bookmarkStart w:id="101" w:name="_Toc29792"/>
      <w:bookmarkStart w:id="102" w:name="_Toc30980"/>
      <w:bookmarkStart w:id="103" w:name="绿色文明施工"/>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4</w:t>
      </w:r>
      <w:r>
        <w:rPr>
          <w:rFonts w:ascii="黑体" w:hAnsi="黑体" w:eastAsia="黑体" w:cs="黑体"/>
          <w:color w:val="000000" w:themeColor="text1"/>
          <w:szCs w:val="21"/>
          <w14:textFill>
            <w14:solidFill>
              <w14:schemeClr w14:val="tx1"/>
            </w14:solidFill>
          </w14:textFill>
        </w:rPr>
        <w:t xml:space="preserve"> </w:t>
      </w:r>
      <w:bookmarkStart w:id="104" w:name="_Hlk150540241"/>
      <w:r>
        <w:rPr>
          <w:rFonts w:hint="eastAsia" w:ascii="黑体" w:hAnsi="黑体" w:eastAsia="黑体" w:cs="黑体"/>
          <w:color w:val="000000" w:themeColor="text1"/>
          <w:szCs w:val="21"/>
          <w14:textFill>
            <w14:solidFill>
              <w14:schemeClr w14:val="tx1"/>
            </w14:solidFill>
          </w14:textFill>
        </w:rPr>
        <w:t>绿色文明施工</w:t>
      </w:r>
      <w:bookmarkEnd w:id="96"/>
      <w:bookmarkEnd w:id="97"/>
      <w:bookmarkEnd w:id="98"/>
      <w:bookmarkEnd w:id="99"/>
      <w:bookmarkEnd w:id="100"/>
      <w:bookmarkEnd w:id="101"/>
      <w:bookmarkEnd w:id="102"/>
      <w:bookmarkEnd w:id="104"/>
      <w:r>
        <w:rPr>
          <w:rFonts w:hint="eastAsia" w:ascii="黑体" w:hAnsi="黑体" w:eastAsia="黑体" w:cs="黑体"/>
          <w:color w:val="000000" w:themeColor="text1"/>
          <w:szCs w:val="21"/>
          <w:lang w:val="en-US" w:eastAsia="zh-CN"/>
          <w14:textFill>
            <w14:solidFill>
              <w14:schemeClr w14:val="tx1"/>
            </w14:solidFill>
          </w14:textFill>
        </w:rPr>
        <w:t>类</w:t>
      </w:r>
    </w:p>
    <w:bookmarkEnd w:id="103"/>
    <w:p w14:paraId="1EA0184F">
      <w:pPr>
        <w:pStyle w:val="88"/>
      </w:pPr>
      <w:r>
        <w:t>5</w:t>
      </w:r>
      <w:r>
        <w:rPr>
          <w:rFonts w:hint="eastAsia"/>
        </w:rPr>
        <w:t>.4.1 环境监测</w:t>
      </w:r>
    </w:p>
    <w:p w14:paraId="7ED14C36">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 扬尘、噪声及相关气象监测设备应安装在施工现场围栏边界内的作业区、主出入口内相对固定的地点，视野、通风条件良好，基座应采用砌筑或混凝土浇筑予以固定；环境监测设备应设置于能直接观察施工作业区、施工车辆进出口或可能对人体健康造成影响的污染物高浓度区域。</w:t>
      </w:r>
    </w:p>
    <w:p w14:paraId="3E65B8B1">
      <w:pPr>
        <w:pStyle w:val="35"/>
        <w:ind w:firstLine="420" w:firstLineChars="200"/>
        <w:rPr>
          <w:color w:val="auto"/>
        </w:rPr>
      </w:pPr>
      <w:r>
        <w:rPr>
          <w:rFonts w:hint="eastAsia"/>
        </w:rPr>
        <w:t>2 PM</w:t>
      </w:r>
      <w:r>
        <w:t>10</w:t>
      </w:r>
      <w:r>
        <w:rPr>
          <w:rFonts w:hint="eastAsia"/>
        </w:rPr>
        <w:t>监测点应设置于施工场地施工区域围栏安全范围内，并避免受到其他污染源的干扰。颗粒物采样口到在线检测仪器的管道长度应小于2.5米，采样口高度应距离地面3.5m±0.5m，四周无遮挡。</w:t>
      </w:r>
    </w:p>
    <w:p w14:paraId="5F6B288E">
      <w:pPr>
        <w:pStyle w:val="35"/>
        <w:ind w:firstLine="420" w:firstLineChars="200"/>
        <w:rPr>
          <w:color w:val="auto"/>
        </w:rPr>
      </w:pPr>
      <w:r>
        <w:rPr>
          <w:rFonts w:hint="eastAsia"/>
        </w:rPr>
        <w:t>3 噪声监测点可与 PM</w:t>
      </w:r>
      <w:r>
        <w:t>10</w:t>
      </w:r>
      <w:r>
        <w:rPr>
          <w:rFonts w:hint="eastAsia"/>
          <w:vertAlign w:val="subscript"/>
        </w:rPr>
        <w:t xml:space="preserve"> </w:t>
      </w:r>
      <w:r>
        <w:rPr>
          <w:rFonts w:hint="eastAsia"/>
        </w:rPr>
        <w:t>监测点设置于同一点位，其设置应符合国家现行环境噪声点位设置相关要求。噪声在线监测仪距地面高度 1.2 m 以上，户外传声器应设置在最上端，距离其他任何组件应不小于 1.0 m。</w:t>
      </w:r>
    </w:p>
    <w:p w14:paraId="2CFFA9A7">
      <w:pPr>
        <w:pStyle w:val="35"/>
        <w:ind w:firstLine="420" w:firstLineChars="200"/>
        <w:rPr>
          <w:rFonts w:cs="宋体"/>
          <w:color w:val="auto"/>
          <w:kern w:val="2"/>
        </w:rPr>
      </w:pPr>
      <w:r>
        <w:rPr>
          <w:rFonts w:hint="eastAsia"/>
        </w:rPr>
        <w:t>4</w:t>
      </w:r>
      <w:r>
        <w:t xml:space="preserve"> </w:t>
      </w:r>
      <w:r>
        <w:rPr>
          <w:rFonts w:hint="eastAsia"/>
        </w:rPr>
        <w:t>应实现全天候实时采集P</w:t>
      </w:r>
      <w:r>
        <w:t>M10</w:t>
      </w:r>
      <w:r>
        <w:rPr>
          <w:rFonts w:hint="eastAsia"/>
        </w:rPr>
        <w:t>、噪音参数数据，</w:t>
      </w:r>
      <w:r>
        <w:rPr>
          <w:rFonts w:cs="宋体"/>
          <w:color w:val="auto"/>
          <w:kern w:val="2"/>
        </w:rPr>
        <w:t>宜</w:t>
      </w:r>
      <w:r>
        <w:rPr>
          <w:rFonts w:hint="eastAsia" w:cs="宋体"/>
          <w:color w:val="auto"/>
          <w:kern w:val="2"/>
        </w:rPr>
        <w:t>实现</w:t>
      </w:r>
      <w:r>
        <w:rPr>
          <w:rFonts w:cs="宋体"/>
          <w:color w:val="auto"/>
          <w:kern w:val="2"/>
        </w:rPr>
        <w:t>全候实时采集风速、风向、风力、</w:t>
      </w:r>
      <w:r>
        <w:rPr>
          <w:rFonts w:hint="eastAsia" w:cs="宋体"/>
          <w:color w:val="auto"/>
          <w:kern w:val="2"/>
        </w:rPr>
        <w:t>气压、</w:t>
      </w:r>
      <w:r>
        <w:rPr>
          <w:rFonts w:cs="宋体"/>
          <w:color w:val="auto"/>
          <w:kern w:val="2"/>
        </w:rPr>
        <w:t>温度、湿度、PM2.5等参数数据。</w:t>
      </w:r>
    </w:p>
    <w:p w14:paraId="671C2BE1">
      <w:pPr>
        <w:tabs>
          <w:tab w:val="left" w:pos="6"/>
          <w:tab w:val="left" w:pos="426"/>
          <w:tab w:val="left" w:pos="567"/>
        </w:tabs>
        <w:spacing w:line="360" w:lineRule="auto"/>
        <w:ind w:firstLine="420" w:firstLineChars="200"/>
        <w:rPr>
          <w:rFonts w:ascii="宋体" w:hAnsi="宋体" w:cs="宋体"/>
          <w:szCs w:val="21"/>
        </w:rPr>
      </w:pPr>
      <w:r>
        <w:rPr>
          <w:rFonts w:ascii="宋体" w:hAnsi="宋体" w:cs="宋体"/>
          <w:szCs w:val="21"/>
        </w:rPr>
        <w:t>5 应实现扬尘、噪声及相关气象监测数据实时显示</w:t>
      </w:r>
      <w:r>
        <w:rPr>
          <w:rFonts w:hint="eastAsia" w:ascii="宋体" w:hAnsi="宋体" w:cs="宋体"/>
          <w:szCs w:val="21"/>
        </w:rPr>
        <w:t>并以图表形式呈现。</w:t>
      </w:r>
    </w:p>
    <w:p w14:paraId="3ECC4A21">
      <w:pPr>
        <w:pStyle w:val="35"/>
        <w:ind w:firstLine="420" w:firstLineChars="200"/>
        <w:rPr>
          <w:rFonts w:cs="宋体"/>
          <w:color w:val="auto"/>
          <w:kern w:val="2"/>
        </w:rPr>
      </w:pPr>
      <w:r>
        <w:rPr>
          <w:rFonts w:cs="宋体"/>
          <w:color w:val="auto"/>
          <w:kern w:val="2"/>
        </w:rPr>
        <w:t>6 应实现移动设备实时查看监测数据</w:t>
      </w:r>
      <w:r>
        <w:rPr>
          <w:rFonts w:hint="eastAsia" w:cs="宋体"/>
          <w:color w:val="auto"/>
          <w:kern w:val="2"/>
        </w:rPr>
        <w:t>，</w:t>
      </w:r>
      <w:r>
        <w:rPr>
          <w:rFonts w:cs="宋体"/>
          <w:color w:val="auto"/>
          <w:kern w:val="2"/>
        </w:rPr>
        <w:t>应实现历史数据查看与下载、环境监管统计分析等</w:t>
      </w:r>
      <w:r>
        <w:rPr>
          <w:rFonts w:hint="eastAsia" w:cs="宋体"/>
          <w:color w:val="auto"/>
          <w:kern w:val="2"/>
        </w:rPr>
        <w:t>，</w:t>
      </w:r>
      <w:r>
        <w:rPr>
          <w:rFonts w:cs="宋体"/>
          <w:color w:val="auto"/>
          <w:kern w:val="2"/>
        </w:rPr>
        <w:t>宜</w:t>
      </w:r>
      <w:r>
        <w:rPr>
          <w:rFonts w:hint="eastAsia" w:cs="宋体"/>
          <w:color w:val="auto"/>
          <w:kern w:val="2"/>
        </w:rPr>
        <w:t>实现</w:t>
      </w:r>
      <w:r>
        <w:rPr>
          <w:rFonts w:cs="宋体"/>
          <w:color w:val="auto"/>
          <w:kern w:val="2"/>
        </w:rPr>
        <w:t>根据环境监测数据自动推送科学施工类</w:t>
      </w:r>
      <w:r>
        <w:rPr>
          <w:rFonts w:hint="eastAsia" w:cs="宋体"/>
          <w:color w:val="auto"/>
          <w:kern w:val="2"/>
        </w:rPr>
        <w:t>的</w:t>
      </w:r>
      <w:r>
        <w:rPr>
          <w:rFonts w:cs="宋体"/>
          <w:color w:val="auto"/>
          <w:kern w:val="2"/>
        </w:rPr>
        <w:t>施工提醒</w:t>
      </w:r>
      <w:r>
        <w:rPr>
          <w:rFonts w:hint="eastAsia" w:cs="宋体"/>
          <w:color w:val="auto"/>
          <w:kern w:val="2"/>
        </w:rPr>
        <w:t>。</w:t>
      </w:r>
    </w:p>
    <w:p w14:paraId="3E44A356">
      <w:pPr>
        <w:tabs>
          <w:tab w:val="left" w:pos="6"/>
          <w:tab w:val="left" w:pos="426"/>
          <w:tab w:val="left" w:pos="567"/>
        </w:tabs>
        <w:spacing w:line="360" w:lineRule="auto"/>
        <w:ind w:firstLine="420" w:firstLineChars="200"/>
        <w:rPr>
          <w:rFonts w:ascii="宋体" w:hAnsi="宋体" w:cs="宋体"/>
          <w:szCs w:val="21"/>
        </w:rPr>
      </w:pPr>
      <w:r>
        <w:rPr>
          <w:rFonts w:ascii="宋体" w:hAnsi="宋体" w:cs="宋体"/>
          <w:szCs w:val="21"/>
        </w:rPr>
        <w:t>7 应实现扬尘监测、噪声监测、气象监测等超标进行</w:t>
      </w:r>
      <w:r>
        <w:rPr>
          <w:rFonts w:hint="eastAsia" w:ascii="宋体" w:hAnsi="宋体" w:cs="宋体"/>
          <w:color w:val="000000" w:themeColor="text1"/>
          <w:szCs w:val="21"/>
          <w14:textFill>
            <w14:solidFill>
              <w14:schemeClr w14:val="tx1"/>
            </w14:solidFill>
          </w14:textFill>
        </w:rPr>
        <w:t>声光报警、远程报警。</w:t>
      </w:r>
    </w:p>
    <w:p w14:paraId="6A3B01CA">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8 扬尘、噪声及相关气象监测设备应具备</w:t>
      </w:r>
      <w:r>
        <w:rPr>
          <w:rFonts w:ascii="宋体" w:hAnsi="宋体" w:cs="宋体"/>
          <w:color w:val="000000" w:themeColor="text1"/>
          <w:szCs w:val="21"/>
          <w14:textFill>
            <w14:solidFill>
              <w14:schemeClr w14:val="tx1"/>
            </w14:solidFill>
          </w14:textFill>
        </w:rPr>
        <w:t>CPA</w:t>
      </w:r>
      <w:r>
        <w:rPr>
          <w:rFonts w:hint="eastAsia" w:ascii="宋体" w:hAnsi="宋体" w:cs="宋体"/>
          <w:color w:val="000000" w:themeColor="text1"/>
          <w:szCs w:val="21"/>
          <w14:textFill>
            <w14:solidFill>
              <w14:schemeClr w14:val="tx1"/>
            </w14:solidFill>
          </w14:textFill>
        </w:rPr>
        <w:t>环境管理体系认证和</w:t>
      </w:r>
      <w:r>
        <w:rPr>
          <w:rFonts w:ascii="宋体" w:hAnsi="宋体" w:cs="宋体"/>
          <w:color w:val="000000" w:themeColor="text1"/>
          <w:szCs w:val="21"/>
          <w14:textFill>
            <w14:solidFill>
              <w14:schemeClr w14:val="tx1"/>
            </w14:solidFill>
          </w14:textFill>
        </w:rPr>
        <w:t>CEP</w:t>
      </w:r>
      <w:r>
        <w:rPr>
          <w:rFonts w:hint="eastAsia" w:ascii="宋体" w:hAnsi="宋体" w:cs="宋体"/>
          <w:color w:val="000000" w:themeColor="text1"/>
          <w:szCs w:val="21"/>
          <w14:textFill>
            <w14:solidFill>
              <w14:schemeClr w14:val="tx1"/>
            </w14:solidFill>
          </w14:textFill>
        </w:rPr>
        <w:t>环境保护产品认证。</w:t>
      </w:r>
    </w:p>
    <w:p w14:paraId="74C0A3A2">
      <w:pPr>
        <w:tabs>
          <w:tab w:val="left" w:pos="6"/>
          <w:tab w:val="left" w:pos="426"/>
          <w:tab w:val="left" w:pos="567"/>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实时监测数据宜与青岛市气象局发布的空气质量指数（AQI）进行比对，超限时报警并</w:t>
      </w:r>
      <w:r>
        <w:rPr>
          <w:rFonts w:ascii="宋体" w:hAnsi="宋体" w:cs="宋体"/>
          <w:szCs w:val="21"/>
        </w:rPr>
        <w:t>通过与现场治理设备联动，实现环境治理的自动化处理。</w:t>
      </w:r>
    </w:p>
    <w:p w14:paraId="1D52645B">
      <w:pPr>
        <w:tabs>
          <w:tab w:val="left" w:pos="6"/>
          <w:tab w:val="left" w:pos="426"/>
          <w:tab w:val="left" w:pos="567"/>
        </w:tabs>
        <w:spacing w:line="360" w:lineRule="auto"/>
        <w:ind w:firstLine="420" w:firstLineChars="200"/>
        <w:rPr>
          <w:rFonts w:ascii="宋体" w:hAnsi="宋体" w:cs="宋体"/>
          <w:szCs w:val="21"/>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 xml:space="preserve"> 报警信息包括设备编号、报警时间、报警项、报警数值。</w:t>
      </w:r>
    </w:p>
    <w:p w14:paraId="7CE0BD1D">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现场管理人员应及时根据报警信息做处理。数据应及时上传项目、企业、行业平台。</w:t>
      </w:r>
    </w:p>
    <w:p w14:paraId="54C3FB5E">
      <w:pPr>
        <w:pStyle w:val="88"/>
      </w:pPr>
      <w:r>
        <w:t>5</w:t>
      </w:r>
      <w:r>
        <w:rPr>
          <w:rFonts w:hint="eastAsia"/>
        </w:rPr>
        <w:t>.4.2 智能降尘</w:t>
      </w:r>
    </w:p>
    <w:p w14:paraId="7D8F2C79">
      <w:pPr>
        <w:tabs>
          <w:tab w:val="left" w:pos="6"/>
          <w:tab w:val="left" w:pos="426"/>
          <w:tab w:val="left" w:pos="567"/>
        </w:tabs>
        <w:spacing w:line="360" w:lineRule="auto"/>
        <w:ind w:firstLine="420" w:firstLineChars="200"/>
        <w:rPr>
          <w:rFonts w:ascii="宋体" w:hAnsi="宋体" w:cs="宋体"/>
          <w:iCs/>
          <w:szCs w:val="21"/>
        </w:rPr>
      </w:pPr>
      <w:r>
        <w:rPr>
          <w:rFonts w:hint="eastAsia" w:ascii="宋体" w:hAnsi="宋体" w:cs="宋体"/>
          <w:szCs w:val="21"/>
        </w:rPr>
        <w:t>1 智能降尘</w:t>
      </w:r>
      <w:r>
        <w:rPr>
          <w:rFonts w:hint="eastAsia" w:ascii="宋体" w:hAnsi="宋体" w:cs="宋体"/>
          <w:iCs/>
          <w:szCs w:val="21"/>
        </w:rPr>
        <w:t>应是一个独立系统，宜实现自动启停、定时、远程手动终端软硬件控制等。应与环境监测系统联动。</w:t>
      </w:r>
    </w:p>
    <w:p w14:paraId="78AA0A4D">
      <w:pPr>
        <w:tabs>
          <w:tab w:val="left" w:pos="6"/>
          <w:tab w:val="left" w:pos="426"/>
          <w:tab w:val="left" w:pos="567"/>
        </w:tabs>
        <w:spacing w:line="360" w:lineRule="auto"/>
        <w:ind w:firstLine="420" w:firstLineChars="200"/>
        <w:rPr>
          <w:rFonts w:ascii="宋体" w:hAnsi="宋体" w:cs="宋体"/>
          <w:iCs/>
          <w:szCs w:val="21"/>
        </w:rPr>
      </w:pPr>
      <w:r>
        <w:rPr>
          <w:rFonts w:hint="eastAsia" w:ascii="宋体" w:hAnsi="宋体" w:cs="宋体"/>
          <w:szCs w:val="21"/>
        </w:rPr>
        <w:t>2 智能降尘系统</w:t>
      </w:r>
      <w:r>
        <w:rPr>
          <w:rFonts w:hint="eastAsia" w:ascii="宋体" w:hAnsi="宋体" w:cs="宋体"/>
          <w:iCs/>
          <w:szCs w:val="21"/>
        </w:rPr>
        <w:t>应包括围挡喷淋等设施，各设备设施应能实现独立控制，也能通过项目平台、手机APP实现联动控制。</w:t>
      </w:r>
    </w:p>
    <w:p w14:paraId="2E5A1EFD">
      <w:pPr>
        <w:tabs>
          <w:tab w:val="left" w:pos="6"/>
          <w:tab w:val="left" w:pos="426"/>
          <w:tab w:val="left" w:pos="567"/>
        </w:tabs>
        <w:spacing w:line="360" w:lineRule="auto"/>
        <w:ind w:firstLine="420" w:firstLineChars="200"/>
        <w:rPr>
          <w:rFonts w:ascii="宋体" w:hAnsi="宋体" w:cs="宋体"/>
          <w:iCs/>
          <w:szCs w:val="21"/>
        </w:rPr>
      </w:pPr>
      <w:r>
        <w:rPr>
          <w:rFonts w:hint="eastAsia" w:ascii="宋体" w:hAnsi="宋体" w:cs="宋体"/>
          <w:szCs w:val="21"/>
        </w:rPr>
        <w:t xml:space="preserve">3 </w:t>
      </w:r>
      <w:r>
        <w:rPr>
          <w:rFonts w:hint="eastAsia" w:ascii="宋体" w:hAnsi="宋体" w:cs="宋体"/>
          <w:iCs/>
          <w:szCs w:val="21"/>
        </w:rPr>
        <w:t>可以设置</w:t>
      </w:r>
      <w:r>
        <w:rPr>
          <w:rFonts w:hint="eastAsia" w:ascii="宋体" w:hAnsi="宋体" w:cs="宋体"/>
          <w:szCs w:val="21"/>
        </w:rPr>
        <w:t>PM</w:t>
      </w:r>
      <w:r>
        <w:rPr>
          <w:rFonts w:ascii="宋体" w:hAnsi="宋体" w:cs="宋体"/>
          <w:szCs w:val="21"/>
        </w:rPr>
        <w:t>10</w:t>
      </w:r>
      <w:r>
        <w:rPr>
          <w:rFonts w:hint="eastAsia" w:ascii="宋体" w:hAnsi="宋体" w:cs="宋体"/>
          <w:szCs w:val="21"/>
        </w:rPr>
        <w:t>及颗粒物浓度等相关气象</w:t>
      </w:r>
      <w:r>
        <w:rPr>
          <w:rFonts w:hint="eastAsia" w:ascii="宋体" w:hAnsi="宋体" w:cs="宋体"/>
          <w:iCs/>
          <w:szCs w:val="21"/>
        </w:rPr>
        <w:t xml:space="preserve">等临界值，当监测值超限后，及时向喷淋联动器发送信号，自动启动喷淋装置；当 </w:t>
      </w:r>
      <w:r>
        <w:rPr>
          <w:rFonts w:hint="eastAsia" w:ascii="宋体" w:hAnsi="宋体" w:cs="宋体"/>
          <w:szCs w:val="21"/>
        </w:rPr>
        <w:t>PM</w:t>
      </w:r>
      <w:r>
        <w:rPr>
          <w:rFonts w:ascii="宋体" w:hAnsi="宋体" w:cs="宋体"/>
          <w:szCs w:val="21"/>
        </w:rPr>
        <w:t>10</w:t>
      </w:r>
      <w:r>
        <w:rPr>
          <w:rFonts w:hint="eastAsia" w:ascii="宋体" w:hAnsi="宋体" w:cs="宋体"/>
          <w:szCs w:val="21"/>
        </w:rPr>
        <w:t>及颗粒物</w:t>
      </w:r>
      <w:r>
        <w:rPr>
          <w:rFonts w:hint="eastAsia" w:ascii="宋体" w:hAnsi="宋体" w:cs="宋体"/>
          <w:iCs/>
          <w:szCs w:val="21"/>
        </w:rPr>
        <w:t>浓度</w:t>
      </w:r>
      <w:r>
        <w:rPr>
          <w:rFonts w:hint="eastAsia" w:ascii="宋体" w:hAnsi="宋体" w:cs="宋体"/>
          <w:szCs w:val="21"/>
        </w:rPr>
        <w:t>等相关气象</w:t>
      </w:r>
      <w:r>
        <w:rPr>
          <w:rFonts w:hint="eastAsia" w:ascii="宋体" w:hAnsi="宋体" w:cs="宋体"/>
          <w:iCs/>
          <w:szCs w:val="21"/>
        </w:rPr>
        <w:t>等监测值下降至临界值以下时自动关闭。</w:t>
      </w:r>
    </w:p>
    <w:p w14:paraId="5263A2DB">
      <w:pPr>
        <w:tabs>
          <w:tab w:val="left" w:pos="6"/>
          <w:tab w:val="left" w:pos="660"/>
        </w:tabs>
        <w:spacing w:line="360" w:lineRule="auto"/>
        <w:ind w:firstLine="420" w:firstLineChars="200"/>
        <w:rPr>
          <w:rFonts w:ascii="宋体" w:hAnsi="宋体" w:cs="宋体"/>
          <w:iCs/>
          <w:szCs w:val="21"/>
        </w:rPr>
      </w:pPr>
      <w:r>
        <w:rPr>
          <w:rFonts w:hint="eastAsia" w:ascii="宋体" w:hAnsi="宋体" w:cs="宋体"/>
          <w:szCs w:val="21"/>
        </w:rPr>
        <w:t xml:space="preserve">4 </w:t>
      </w:r>
      <w:r>
        <w:rPr>
          <w:rFonts w:hint="eastAsia" w:ascii="宋体" w:hAnsi="宋体" w:cs="宋体"/>
          <w:iCs/>
          <w:szCs w:val="21"/>
        </w:rPr>
        <w:t>喷淋设备启动关闭控制距离不小于 1500 米。</w:t>
      </w:r>
    </w:p>
    <w:p w14:paraId="536B8852">
      <w:pPr>
        <w:tabs>
          <w:tab w:val="left" w:pos="6"/>
          <w:tab w:val="left" w:pos="426"/>
          <w:tab w:val="left" w:pos="567"/>
        </w:tabs>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 xml:space="preserve"> </w:t>
      </w:r>
      <w:r>
        <w:rPr>
          <w:rFonts w:hint="eastAsia" w:ascii="宋体" w:hAnsi="宋体" w:cs="宋体"/>
          <w:iCs/>
          <w:szCs w:val="21"/>
        </w:rPr>
        <w:t>现场监测信息、喷淋设备启动、运行、关闭信息上传项目、企业、行业平台</w:t>
      </w:r>
      <w:r>
        <w:rPr>
          <w:rFonts w:hint="eastAsia" w:ascii="宋体" w:hAnsi="宋体" w:cs="宋体"/>
          <w:szCs w:val="21"/>
        </w:rPr>
        <w:t>。</w:t>
      </w:r>
    </w:p>
    <w:p w14:paraId="5F5986AE">
      <w:pPr>
        <w:tabs>
          <w:tab w:val="left" w:pos="6"/>
          <w:tab w:val="left" w:pos="426"/>
          <w:tab w:val="left" w:pos="567"/>
        </w:tabs>
        <w:spacing w:line="360" w:lineRule="auto"/>
        <w:ind w:firstLine="420" w:firstLineChars="200"/>
        <w:rPr>
          <w:rFonts w:ascii="宋体" w:hAnsi="宋体" w:cs="宋体"/>
        </w:rPr>
      </w:pPr>
      <w:r>
        <w:rPr>
          <w:rFonts w:ascii="宋体" w:hAnsi="宋体" w:cs="宋体"/>
          <w:szCs w:val="21"/>
        </w:rPr>
        <w:t>6</w:t>
      </w:r>
      <w:r>
        <w:rPr>
          <w:rFonts w:hint="eastAsia" w:ascii="宋体" w:hAnsi="宋体" w:cs="宋体"/>
          <w:szCs w:val="21"/>
        </w:rPr>
        <w:t xml:space="preserve"> 现场采集的数据应包含喷淋开始时间、喷淋结束时间、喷淋启停方式等参数数据。</w:t>
      </w:r>
    </w:p>
    <w:p w14:paraId="0890B9B3">
      <w:pPr>
        <w:pStyle w:val="88"/>
      </w:pPr>
      <w:r>
        <w:t>5</w:t>
      </w:r>
      <w:r>
        <w:rPr>
          <w:rFonts w:hint="eastAsia"/>
        </w:rPr>
        <w:t>.4.3 渣土运输管理</w:t>
      </w:r>
    </w:p>
    <w:p w14:paraId="3330BE80">
      <w:pPr>
        <w:tabs>
          <w:tab w:val="left" w:pos="6"/>
          <w:tab w:val="left" w:pos="426"/>
          <w:tab w:val="left" w:pos="567"/>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各车辆出入口均应设置渣土运输管理系统，全日候进行监测。</w:t>
      </w:r>
    </w:p>
    <w:p w14:paraId="7009105C">
      <w:pPr>
        <w:pStyle w:val="40"/>
        <w:ind w:firstLine="420"/>
        <w:rPr>
          <w:rFonts w:cs="宋体"/>
          <w:color w:val="000000" w:themeColor="text1"/>
          <w:szCs w:val="21"/>
          <w14:textFill>
            <w14:solidFill>
              <w14:schemeClr w14:val="tx1"/>
            </w14:solidFill>
          </w14:textFill>
        </w:rPr>
      </w:pPr>
      <w:r>
        <w:rPr>
          <w:rFonts w:hint="eastAsia" w:cs="宋体"/>
          <w:szCs w:val="21"/>
        </w:rPr>
        <w:t xml:space="preserve">2 </w:t>
      </w:r>
      <w:r>
        <w:rPr>
          <w:rFonts w:hint="eastAsia" w:cs="宋体"/>
          <w:color w:val="000000" w:themeColor="text1"/>
          <w:szCs w:val="21"/>
          <w14:textFill>
            <w14:solidFill>
              <w14:schemeClr w14:val="tx1"/>
            </w14:solidFill>
          </w14:textFill>
        </w:rPr>
        <w:t>施工现场应安装车辆清洗智能管理系统，实现车辆自动识别、出场冲洗、实时记录、自动上传、统计分析、异常报警等功能。</w:t>
      </w:r>
    </w:p>
    <w:p w14:paraId="26C58DCA">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3 应实现使用AI识别系统对车牌、车盖密闭、冲洗时间进行识别分析功能，实时记录车辆进出施工现场情况。</w:t>
      </w:r>
    </w:p>
    <w:p w14:paraId="03DD354F">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4 应实现对车牌不清、疑似套牌、车盖密闭不严、车身不净等情景的实时声光报警，同时将报警信息上传项目、企业、行业平台。</w:t>
      </w:r>
    </w:p>
    <w:p w14:paraId="5852D0A5">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5 终端摄像机抓拍照片不低于1920*1080P分辨率，支持与抓拍照片前后过程的录像自动关联。</w:t>
      </w:r>
    </w:p>
    <w:p w14:paraId="7C1B2593">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6 智能分析终端应支持对前端抓拍的图片二次识别功能，图片、视频数据应具备本地和云端储存功能。</w:t>
      </w:r>
    </w:p>
    <w:p w14:paraId="387D7E3A">
      <w:pPr>
        <w:tabs>
          <w:tab w:val="left" w:pos="6"/>
          <w:tab w:val="left" w:pos="426"/>
          <w:tab w:val="left" w:pos="567"/>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车辆进出场记录信息应包括车牌号码、车辆类型、车身颜色、进出场时间、进出场次数以及图片、视频等。</w:t>
      </w:r>
    </w:p>
    <w:p w14:paraId="41603A6E">
      <w:pPr>
        <w:pStyle w:val="35"/>
      </w:pPr>
      <w:r>
        <w:rPr>
          <w:rFonts w:hint="eastAsia"/>
        </w:rPr>
        <w:t xml:space="preserve"> </w:t>
      </w:r>
      <w:r>
        <w:t xml:space="preserve">   8 </w:t>
      </w:r>
      <w:r>
        <w:rPr>
          <w:rFonts w:hint="eastAsia"/>
        </w:rPr>
        <w:t>车辆清洗信息包括洗车前图片、洗车后图片、车牌号、洗车时长、监测时间等。</w:t>
      </w:r>
    </w:p>
    <w:p w14:paraId="23AE731E">
      <w:pPr>
        <w:tabs>
          <w:tab w:val="left" w:pos="6"/>
          <w:tab w:val="left" w:pos="426"/>
          <w:tab w:val="left" w:pos="567"/>
        </w:tabs>
        <w:spacing w:line="360" w:lineRule="auto"/>
        <w:ind w:firstLine="420" w:firstLineChars="200"/>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 xml:space="preserve"> 报警信息应包括车辆出入口编号、出入口名称、车牌号、报警类型、报警内容、报警时间等，现场管理人员对报警信息处理后，应及时上传项目、企业、行业平台。</w:t>
      </w:r>
    </w:p>
    <w:p w14:paraId="7683019D">
      <w:pPr>
        <w:pStyle w:val="88"/>
      </w:pPr>
      <w:r>
        <w:t>5</w:t>
      </w:r>
      <w:r>
        <w:rPr>
          <w:rFonts w:hint="eastAsia"/>
        </w:rPr>
        <w:t>.4.4 城市道路保洁管理</w:t>
      </w:r>
    </w:p>
    <w:p w14:paraId="1AE1DB53">
      <w:pPr>
        <w:tabs>
          <w:tab w:val="left" w:pos="6"/>
          <w:tab w:val="left" w:pos="426"/>
        </w:tabs>
        <w:spacing w:line="360" w:lineRule="auto"/>
        <w:ind w:left="6"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 项目施工现场各出入口处应安装城市道路保洁AI检测分析系统。</w:t>
      </w:r>
    </w:p>
    <w:p w14:paraId="65A7B938">
      <w:pPr>
        <w:tabs>
          <w:tab w:val="left" w:pos="6"/>
          <w:tab w:val="left" w:pos="426"/>
          <w:tab w:val="left" w:pos="567"/>
        </w:tabs>
        <w:spacing w:line="360" w:lineRule="auto"/>
        <w:ind w:left="6"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 宜实现对路面脏污 AI 检测分析。</w:t>
      </w:r>
    </w:p>
    <w:p w14:paraId="6E7990C7">
      <w:pPr>
        <w:tabs>
          <w:tab w:val="left" w:pos="6"/>
          <w:tab w:val="left" w:pos="426"/>
          <w:tab w:val="left" w:pos="567"/>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3 应对车辆出场不清洗、车身清洗不净、车身带泥、轮胎带泥、出入口外路面污损、门前三包区域路面污损等情况声光报警。</w:t>
      </w:r>
    </w:p>
    <w:p w14:paraId="48B410AA">
      <w:pPr>
        <w:tabs>
          <w:tab w:val="left" w:pos="6"/>
          <w:tab w:val="left" w:pos="426"/>
          <w:tab w:val="left" w:pos="567"/>
        </w:tabs>
        <w:spacing w:line="360" w:lineRule="auto"/>
        <w:ind w:left="6"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4 接收前端的报警事件和抓拍图片应支持预览和回放。</w:t>
      </w:r>
    </w:p>
    <w:p w14:paraId="3EF012AA">
      <w:pPr>
        <w:tabs>
          <w:tab w:val="left" w:pos="6"/>
          <w:tab w:val="left" w:pos="426"/>
          <w:tab w:val="left" w:pos="567"/>
        </w:tabs>
        <w:spacing w:line="360" w:lineRule="auto"/>
        <w:ind w:firstLine="420" w:firstLineChars="200"/>
        <w:rPr>
          <w:rFonts w:ascii="宋体" w:hAnsi="宋体" w:cs="宋体"/>
        </w:rPr>
      </w:pPr>
      <w:r>
        <w:rPr>
          <w:rFonts w:hint="eastAsia" w:ascii="宋体" w:hAnsi="宋体" w:cs="宋体"/>
          <w:color w:val="000000" w:themeColor="text1"/>
          <w:szCs w:val="21"/>
          <w14:textFill>
            <w14:solidFill>
              <w14:schemeClr w14:val="tx1"/>
            </w14:solidFill>
          </w14:textFill>
        </w:rPr>
        <w:t>5 报警信息包括报警时间、报警内容。</w:t>
      </w:r>
    </w:p>
    <w:p w14:paraId="1B08D37C">
      <w:pPr>
        <w:pStyle w:val="88"/>
      </w:pPr>
      <w:r>
        <w:t>5</w:t>
      </w:r>
      <w:r>
        <w:rPr>
          <w:rFonts w:hint="eastAsia"/>
        </w:rPr>
        <w:t>.4.5 车辆进出场管理</w:t>
      </w:r>
    </w:p>
    <w:p w14:paraId="3CA5F9B7">
      <w:pPr>
        <w:tabs>
          <w:tab w:val="left" w:pos="6"/>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 项目施工现场各出入口处应安装车辆进出场管理系统。</w:t>
      </w:r>
    </w:p>
    <w:p w14:paraId="4669A7C3">
      <w:pPr>
        <w:tabs>
          <w:tab w:val="left" w:pos="6"/>
        </w:tabs>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 应对工程车辆进行权限放行和对其他车辆进行认证管理。</w:t>
      </w:r>
    </w:p>
    <w:p w14:paraId="5E55CC37">
      <w:pPr>
        <w:pStyle w:val="69"/>
        <w:tabs>
          <w:tab w:val="left" w:pos="608"/>
        </w:tabs>
        <w:spacing w:line="360" w:lineRule="auto"/>
        <w:rPr>
          <w:rFonts w:ascii="宋体" w:hAnsi="宋体" w:cs="宋体"/>
          <w:szCs w:val="21"/>
        </w:rPr>
      </w:pPr>
      <w:r>
        <w:rPr>
          <w:rFonts w:ascii="宋体" w:hAnsi="宋体" w:cs="宋体"/>
          <w:color w:val="000000" w:themeColor="text1"/>
          <w:szCs w:val="21"/>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车辆进出场数据信息应上传项目，宜上传企业平台、行业平台。</w:t>
      </w:r>
    </w:p>
    <w:p w14:paraId="1C8834CC">
      <w:pPr>
        <w:tabs>
          <w:tab w:val="left" w:pos="6"/>
          <w:tab w:val="left" w:pos="426"/>
          <w:tab w:val="left" w:pos="567"/>
        </w:tabs>
        <w:spacing w:line="360" w:lineRule="auto"/>
        <w:ind w:firstLine="420" w:firstLineChars="200"/>
        <w:rPr>
          <w:rFonts w:ascii="宋体" w:hAnsi="宋体" w:cs="宋体"/>
          <w:szCs w:val="21"/>
        </w:rPr>
      </w:pPr>
      <w:r>
        <w:rPr>
          <w:rFonts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szCs w:val="21"/>
          <w14:textFill>
            <w14:solidFill>
              <w14:schemeClr w14:val="tx1"/>
            </w14:solidFill>
          </w14:textFill>
        </w:rPr>
        <w:t>车辆进出场管理应具备本地和云端数据储存功能。</w:t>
      </w:r>
    </w:p>
    <w:p w14:paraId="305E2F48">
      <w:pPr>
        <w:tabs>
          <w:tab w:val="left" w:pos="6"/>
          <w:tab w:val="left" w:pos="426"/>
          <w:tab w:val="left" w:pos="567"/>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5 </w:t>
      </w:r>
      <w:r>
        <w:rPr>
          <w:rFonts w:hint="eastAsia" w:ascii="宋体" w:hAnsi="宋体" w:cs="宋体"/>
          <w:color w:val="000000" w:themeColor="text1"/>
          <w:szCs w:val="21"/>
          <w14:textFill>
            <w14:solidFill>
              <w14:schemeClr w14:val="tx1"/>
            </w14:solidFill>
          </w14:textFill>
        </w:rPr>
        <w:t>车辆进出场记录信息包括当前在场车辆数量、车牌号码、车辆类型、车身颜色、进出场时间、进出场次数以及图片、视频等。</w:t>
      </w:r>
    </w:p>
    <w:p w14:paraId="2848A756">
      <w:pPr>
        <w:pStyle w:val="88"/>
      </w:pPr>
      <w:r>
        <w:t>5</w:t>
      </w:r>
      <w:r>
        <w:rPr>
          <w:rFonts w:hint="eastAsia"/>
        </w:rPr>
        <w:t>.4.6 夜间施工监测</w:t>
      </w:r>
    </w:p>
    <w:p w14:paraId="06486157">
      <w:pPr>
        <w:pStyle w:val="35"/>
        <w:ind w:firstLine="420" w:firstLineChars="200"/>
      </w:pPr>
      <w:r>
        <w:rPr>
          <w:rFonts w:hint="eastAsia"/>
        </w:rPr>
        <w:t>1 有夜间施工要求的建筑工程项目应安装夜间施工监测系统。</w:t>
      </w:r>
    </w:p>
    <w:p w14:paraId="21CB0AF1">
      <w:pPr>
        <w:pStyle w:val="35"/>
      </w:pPr>
      <w:r>
        <w:rPr>
          <w:rFonts w:hint="eastAsia"/>
        </w:rPr>
        <w:tab/>
      </w:r>
      <w:r>
        <w:rPr>
          <w:rFonts w:hint="eastAsia"/>
        </w:rPr>
        <w:t>2 应使用高清夜视摄像头，与车辆进出场管理系统相结合，对夜间进出场车辆进行识别及抓拍，记录夜间车辆进出场信息。</w:t>
      </w:r>
    </w:p>
    <w:p w14:paraId="056F8C35">
      <w:pPr>
        <w:pStyle w:val="35"/>
      </w:pPr>
      <w:r>
        <w:rPr>
          <w:rFonts w:hint="eastAsia"/>
        </w:rPr>
        <w:tab/>
      </w:r>
      <w:r>
        <w:rPr>
          <w:rFonts w:hint="eastAsia"/>
        </w:rPr>
        <w:t>3 应使用高清夜视摄像头，与视频监控系统相结合，记录夜间施工情况。</w:t>
      </w:r>
    </w:p>
    <w:p w14:paraId="236279C3">
      <w:pPr>
        <w:pStyle w:val="35"/>
      </w:pPr>
      <w:r>
        <w:rPr>
          <w:rFonts w:hint="eastAsia"/>
        </w:rPr>
        <w:tab/>
      </w:r>
      <w:r>
        <w:rPr>
          <w:rFonts w:hint="eastAsia"/>
        </w:rPr>
        <w:t>4 夜间施工车辆进出场、渣土运输管理信息宜与相应功能结合，上传项目、企业平台。</w:t>
      </w:r>
    </w:p>
    <w:p w14:paraId="13E603A3">
      <w:pPr>
        <w:pStyle w:val="88"/>
      </w:pPr>
      <w:r>
        <w:t>5</w:t>
      </w:r>
      <w:r>
        <w:rPr>
          <w:rFonts w:hint="eastAsia"/>
        </w:rPr>
        <w:t>.4.7 污水监测</w:t>
      </w:r>
    </w:p>
    <w:p w14:paraId="7A2636DD">
      <w:pPr>
        <w:pStyle w:val="35"/>
        <w:ind w:firstLine="420" w:firstLineChars="200"/>
      </w:pPr>
      <w:r>
        <w:rPr>
          <w:rFonts w:hint="eastAsia"/>
        </w:rPr>
        <w:t>1 建筑工程项目应安装污水监测系统。</w:t>
      </w:r>
    </w:p>
    <w:p w14:paraId="2713B466">
      <w:pPr>
        <w:pStyle w:val="35"/>
        <w:ind w:firstLine="420" w:firstLineChars="200"/>
      </w:pPr>
      <w:r>
        <w:rPr>
          <w:rFonts w:hint="eastAsia"/>
        </w:rPr>
        <w:t>2 在污水排放口设置流量网口输出传感器、处理器和显示屏，每个流量网口输出传感器均标有不同编号，并设有定位系统。</w:t>
      </w:r>
    </w:p>
    <w:p w14:paraId="39FC6720">
      <w:pPr>
        <w:pStyle w:val="35"/>
        <w:ind w:firstLine="420" w:firstLineChars="200"/>
      </w:pPr>
      <w:r>
        <w:rPr>
          <w:rFonts w:hint="eastAsia"/>
        </w:rPr>
        <w:t>3 宜集成多种工业级、高精度传感器实时采集沉降池水质状况数据。系统宜由数据分析主机、PH 传感器、浊度传感器、水位传感器、超声波明渠流量计、液体电导率、氨氮含量监测、显示屏组件构成。</w:t>
      </w:r>
    </w:p>
    <w:p w14:paraId="230D07B3">
      <w:pPr>
        <w:pStyle w:val="35"/>
        <w:ind w:firstLine="420" w:firstLineChars="200"/>
      </w:pPr>
      <w:r>
        <w:rPr>
          <w:rFonts w:hint="eastAsia"/>
        </w:rPr>
        <w:t>4 可监测施工现场污水水质中的PH值、浊度、水位及流量、液体电导率、氨氮含量等。</w:t>
      </w:r>
    </w:p>
    <w:p w14:paraId="45ED2609">
      <w:pPr>
        <w:pStyle w:val="35"/>
        <w:ind w:firstLine="420" w:firstLineChars="200"/>
      </w:pPr>
      <w:r>
        <w:rPr>
          <w:rFonts w:hint="eastAsia"/>
        </w:rPr>
        <w:t>5 监测报警数据宜上传项目、企业平台。</w:t>
      </w:r>
    </w:p>
    <w:p w14:paraId="35D8F01A">
      <w:pPr>
        <w:pStyle w:val="35"/>
        <w:ind w:firstLine="420" w:firstLineChars="200"/>
      </w:pPr>
      <w:r>
        <w:rPr>
          <w:rFonts w:hint="eastAsia"/>
        </w:rPr>
        <w:t>6 污水监测报警信息应包括监测时间、监测指标、实测数据、报警阈值、报警级别、报警内容。</w:t>
      </w:r>
    </w:p>
    <w:p w14:paraId="5E7FDE33">
      <w:pPr>
        <w:pStyle w:val="88"/>
      </w:pPr>
      <w:r>
        <w:t>5</w:t>
      </w:r>
      <w:r>
        <w:rPr>
          <w:rFonts w:hint="eastAsia"/>
        </w:rPr>
        <w:t>.4.8 能源管理</w:t>
      </w:r>
    </w:p>
    <w:p w14:paraId="6A7C32AD">
      <w:pPr>
        <w:pStyle w:val="35"/>
        <w:ind w:firstLine="420" w:firstLineChars="200"/>
      </w:pPr>
      <w:r>
        <w:rPr>
          <w:rFonts w:hint="eastAsia"/>
        </w:rPr>
        <w:t>1 施工现场办公区、生活区、作业区应安装用水、用电监测装置，实时监测、记录、上传、统计、分析用水量和用电量等数据信息。宜实现能源使用数据统计、分析、预警、检索。</w:t>
      </w:r>
    </w:p>
    <w:p w14:paraId="39B1031F">
      <w:pPr>
        <w:pStyle w:val="35"/>
        <w:ind w:firstLine="420" w:firstLineChars="200"/>
      </w:pPr>
      <w:r>
        <w:rPr>
          <w:rFonts w:hint="eastAsia"/>
        </w:rPr>
        <w:t>2 水、电用量数据自动上传项目、企业平台，分区分时对用水及用电自动记录、超用滥用报警、综合能耗分析等，自动形成月度、年度能源消耗报表。</w:t>
      </w:r>
    </w:p>
    <w:p w14:paraId="56D181CB">
      <w:pPr>
        <w:pStyle w:val="35"/>
        <w:ind w:firstLine="420" w:firstLineChars="200"/>
      </w:pPr>
      <w:r>
        <w:rPr>
          <w:rFonts w:hint="eastAsia"/>
        </w:rPr>
        <w:t>3 对生活区、办公区设定水电表限值，超限后报警，报警信息宜上传项目、企业平台。</w:t>
      </w:r>
    </w:p>
    <w:p w14:paraId="3E6D382A">
      <w:pPr>
        <w:pStyle w:val="35"/>
        <w:ind w:firstLine="420" w:firstLineChars="200"/>
      </w:pPr>
      <w:r>
        <w:rPr>
          <w:rFonts w:hint="eastAsia"/>
        </w:rPr>
        <w:t>4 管理人员对生活区、办公区水电超限报警信息落实处理后将处理信息上传项目、企业平台，实行闭环管理。</w:t>
      </w:r>
    </w:p>
    <w:p w14:paraId="7F1080EA">
      <w:pPr>
        <w:pStyle w:val="35"/>
        <w:ind w:firstLine="420" w:firstLineChars="200"/>
      </w:pPr>
      <w:r>
        <w:rPr>
          <w:rFonts w:hint="eastAsia"/>
        </w:rPr>
        <w:t>5 对施工区用水用电量设定限值，超限后推送管理人员。</w:t>
      </w:r>
    </w:p>
    <w:p w14:paraId="372E9329">
      <w:pPr>
        <w:pStyle w:val="35"/>
        <w:ind w:firstLine="420" w:firstLineChars="200"/>
      </w:pPr>
      <w:r>
        <w:rPr>
          <w:rFonts w:hint="eastAsia"/>
        </w:rPr>
        <w:t>6 管理人员对施工区用水用电量超限报警信息进行落实处理，并将处理信息上传企业平台，实行闭环管理。</w:t>
      </w:r>
    </w:p>
    <w:p w14:paraId="10D05301">
      <w:pPr>
        <w:pStyle w:val="35"/>
        <w:ind w:firstLine="420" w:firstLineChars="200"/>
      </w:pPr>
      <w:r>
        <w:rPr>
          <w:rFonts w:hint="eastAsia"/>
        </w:rPr>
        <w:t>7 能耗管理采集数据宜包括用水量、用电量、区域地点、责任单位、时间周期等，宜对生活区、办公区、施工区水电使用量、节能超限情况以图表、数据形式直观展现。</w:t>
      </w:r>
    </w:p>
    <w:p w14:paraId="230D0F4D">
      <w:pPr>
        <w:pStyle w:val="35"/>
        <w:ind w:firstLine="420" w:firstLineChars="200"/>
      </w:pPr>
      <w:r>
        <w:t>8</w:t>
      </w:r>
      <w:r>
        <w:rPr>
          <w:rFonts w:hint="eastAsia"/>
        </w:rPr>
        <w:t xml:space="preserve"> 能耗管理应贯穿项目建设始终，形成完整施工过程数据，可采用本地或云存储方式，保存至工程竣工。</w:t>
      </w:r>
    </w:p>
    <w:p w14:paraId="4710D0D1">
      <w:pPr>
        <w:pStyle w:val="35"/>
        <w:ind w:firstLine="420" w:firstLineChars="200"/>
      </w:pPr>
      <w:r>
        <w:t>9</w:t>
      </w:r>
      <w:r>
        <w:rPr>
          <w:rFonts w:hint="eastAsia"/>
        </w:rPr>
        <w:t xml:space="preserve"> 水电报警信息应包括监测区域、能源名称、上传日期、监测区间、累计上期使用量、本期使用量、累计使用量、本期使用指标、累计使用指标、超限类型（当期、累计）、超限数量、电表读数、今日用电量、水表读数、今日用水量等。</w:t>
      </w:r>
    </w:p>
    <w:p w14:paraId="6B27C594">
      <w:pPr>
        <w:pStyle w:val="88"/>
      </w:pPr>
      <w:r>
        <w:t>5</w:t>
      </w:r>
      <w:r>
        <w:rPr>
          <w:rFonts w:hint="eastAsia"/>
        </w:rPr>
        <w:t>.4.9 裸土监测</w:t>
      </w:r>
    </w:p>
    <w:p w14:paraId="6FD3AEEE">
      <w:pPr>
        <w:pStyle w:val="35"/>
        <w:ind w:firstLine="420" w:firstLineChars="200"/>
      </w:pPr>
      <w:r>
        <w:rPr>
          <w:rFonts w:hint="eastAsia"/>
        </w:rPr>
        <w:t>1 应有专门的功能模块，能够借助AI技术在各施工阶段对裸土覆盖情况进行自动监测管理。</w:t>
      </w:r>
    </w:p>
    <w:p w14:paraId="26EADD85">
      <w:pPr>
        <w:pStyle w:val="35"/>
        <w:ind w:firstLine="420" w:firstLineChars="200"/>
      </w:pPr>
      <w:r>
        <w:rPr>
          <w:rFonts w:hint="eastAsia"/>
        </w:rPr>
        <w:t>2 应在制高点设置摄像头或采用无人机定期航拍，监控施工范围内所有裸土区域苫盖情况。</w:t>
      </w:r>
    </w:p>
    <w:p w14:paraId="1B40F0F0">
      <w:pPr>
        <w:pStyle w:val="35"/>
        <w:ind w:firstLine="420" w:firstLineChars="200"/>
        <w:rPr>
          <w:rFonts w:ascii="Times New Roman" w:hAnsi="Times New Roman" w:cs="Times New Roman"/>
          <w:color w:val="auto"/>
        </w:rPr>
      </w:pPr>
      <w:r>
        <w:rPr>
          <w:rFonts w:hint="eastAsia"/>
        </w:rPr>
        <w:t>3 应能够对没有苫盖的裸土区域进行自动报警、自动记录图片，并上传平台。</w:t>
      </w:r>
    </w:p>
    <w:p w14:paraId="2567F4D1">
      <w:pPr>
        <w:pStyle w:val="40"/>
        <w:ind w:firstLine="0" w:firstLineChars="0"/>
        <w:jc w:val="center"/>
        <w:outlineLvl w:val="1"/>
        <w:rPr>
          <w:rFonts w:ascii="仿宋_GB2312" w:hAnsi="仿宋_GB2312" w:eastAsia="黑体" w:cs="仿宋_GB2312"/>
          <w:b/>
          <w:bCs/>
          <w:color w:val="000000" w:themeColor="text1"/>
          <w:sz w:val="28"/>
          <w:szCs w:val="28"/>
          <w14:textFill>
            <w14:solidFill>
              <w14:schemeClr w14:val="tx1"/>
            </w14:solidFill>
          </w14:textFill>
        </w:rPr>
      </w:pPr>
      <w:bookmarkStart w:id="105" w:name="_Toc3752"/>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5</w:t>
      </w:r>
      <w:r>
        <w:rPr>
          <w:rFonts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施工综合管理</w:t>
      </w:r>
      <w:bookmarkEnd w:id="105"/>
      <w:r>
        <w:rPr>
          <w:rFonts w:hint="eastAsia" w:ascii="黑体" w:hAnsi="黑体" w:eastAsia="黑体" w:cs="黑体"/>
          <w:color w:val="000000" w:themeColor="text1"/>
          <w:szCs w:val="21"/>
          <w14:textFill>
            <w14:solidFill>
              <w14:schemeClr w14:val="tx1"/>
            </w14:solidFill>
          </w14:textFill>
        </w:rPr>
        <w:t>类</w:t>
      </w:r>
    </w:p>
    <w:p w14:paraId="2027B04C">
      <w:pPr>
        <w:pStyle w:val="88"/>
      </w:pPr>
      <w:r>
        <w:t>5</w:t>
      </w:r>
      <w:r>
        <w:rPr>
          <w:rFonts w:hint="eastAsia"/>
        </w:rPr>
        <w:t>.5.1 智慧工地指挥中心</w:t>
      </w:r>
    </w:p>
    <w:p w14:paraId="2DA31A31">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施工现场宜设置智慧工地指挥中心，指挥中心应集成实时监控、数据分析、应急响应与决策支持等功能，确保工地运作高效、安全、智能化。 </w:t>
      </w:r>
      <w:r>
        <w:rPr>
          <w:rFonts w:ascii="宋体" w:hAnsi="宋体" w:cs="宋体"/>
          <w:color w:val="000000" w:themeColor="text1"/>
          <w:szCs w:val="21"/>
          <w14:textFill>
            <w14:solidFill>
              <w14:schemeClr w14:val="tx1"/>
            </w14:solidFill>
          </w14:textFill>
        </w:rPr>
        <w:t xml:space="preserve"> </w:t>
      </w:r>
    </w:p>
    <w:p w14:paraId="6530A7AF">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现场视频监控、传感器等设备监测数据应实时、稳定地传送至指挥中心。指挥中心应配置高清显示屏，支持动态展示项目视频监控画面、传感器监测数据等，宜采用可触摸大屏幕以增强交互性。指挥中心应配备必要通讯、广播设备，配置报警事件处理人员。</w:t>
      </w:r>
    </w:p>
    <w:p w14:paraId="169DD545">
      <w:pPr>
        <w:tabs>
          <w:tab w:val="left" w:pos="6"/>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监测系统识别到异常应立即触发声光报警，并在指挥中心屏幕上高亮显示报警详情，包括但不限于报警区域、具体位置、报警类型、级别及紧急程度，同时调取相关视频监控画面。应根据报警事件结合相应监测功能，自动记录报警事件处置过程数据、视频影像资料；报警事件处置完毕后，应及时上传项目、企业平台，实行闭环管理。报警及处置过程数据应保存至竣工；视频影像资料等应具备本地和</w:t>
      </w:r>
      <w:r>
        <w:rPr>
          <w:rFonts w:ascii="宋体" w:hAnsi="宋体" w:cs="宋体"/>
          <w:color w:val="000000" w:themeColor="text1"/>
          <w:szCs w:val="21"/>
          <w14:textFill>
            <w14:solidFill>
              <w14:schemeClr w14:val="tx1"/>
            </w14:solidFill>
          </w14:textFill>
        </w:rPr>
        <w:t>云存储</w:t>
      </w:r>
      <w:r>
        <w:rPr>
          <w:rFonts w:hint="eastAsia" w:ascii="宋体" w:hAnsi="宋体" w:cs="宋体"/>
          <w:color w:val="000000" w:themeColor="text1"/>
          <w:szCs w:val="21"/>
          <w14:textFill>
            <w14:solidFill>
              <w14:schemeClr w14:val="tx1"/>
            </w14:solidFill>
          </w14:textFill>
        </w:rPr>
        <w:t>功能</w:t>
      </w:r>
      <w:r>
        <w:rPr>
          <w:rFonts w:ascii="宋体" w:hAnsi="宋体" w:cs="宋体"/>
          <w:color w:val="000000" w:themeColor="text1"/>
          <w:szCs w:val="21"/>
          <w14:textFill>
            <w14:solidFill>
              <w14:schemeClr w14:val="tx1"/>
            </w14:solidFill>
          </w14:textFill>
        </w:rPr>
        <w:t>。</w:t>
      </w:r>
    </w:p>
    <w:p w14:paraId="400B72BC">
      <w:pPr>
        <w:tabs>
          <w:tab w:val="left" w:pos="6"/>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指挥中心应建立完善的值班制度和异常事件处置程序，值守人员宜将值班情况进行记录并上传项目、企业平台。</w:t>
      </w:r>
    </w:p>
    <w:p w14:paraId="123D78C1">
      <w:pPr>
        <w:pStyle w:val="9"/>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指挥中心内宜配合AR、VR、MR等技术辅助项目进行成果展示，增强展示的互动性和直观性，内容应紧密结合项目施工实际。</w:t>
      </w:r>
    </w:p>
    <w:p w14:paraId="5B4E5183">
      <w:pPr>
        <w:pStyle w:val="9"/>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指挥中心内宜布置实物模型展示区，与屏幕展示相配合，清晰展示应用项目的特点、难点、施工工艺或控制关键点。</w:t>
      </w:r>
    </w:p>
    <w:p w14:paraId="669A00C7">
      <w:pPr>
        <w:pStyle w:val="9"/>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 指挥中心网络带宽不宜低于10Mbps，确保数据传输和远程操作流畅无阻。</w:t>
      </w:r>
    </w:p>
    <w:p w14:paraId="3D1CCB9A">
      <w:pPr>
        <w:pStyle w:val="9"/>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 指挥中心应配备专业技术人员日常维护，实施定期设备性能检测与维护计划，确保系统稳定运行。</w:t>
      </w:r>
    </w:p>
    <w:p w14:paraId="14BBAFB6">
      <w:pPr>
        <w:widowControl/>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指挥中心内宜采用数字沙盘技术，通过三维模型直观展示工地布局、进度状况等信息。</w:t>
      </w:r>
    </w:p>
    <w:p w14:paraId="7F5087A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10指挥中心产生数据应支持多方浏览与分析，促进信息共享与协同管理。</w:t>
      </w:r>
    </w:p>
    <w:p w14:paraId="4F70BD6D">
      <w:pPr>
        <w:spacing w:line="360" w:lineRule="auto"/>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指挥中心产生数据应上传至项目、企业平台，</w:t>
      </w:r>
    </w:p>
    <w:p w14:paraId="331FDB6F">
      <w:pPr>
        <w:pStyle w:val="88"/>
      </w:pPr>
      <w:r>
        <w:t>5</w:t>
      </w:r>
      <w:r>
        <w:rPr>
          <w:rFonts w:hint="eastAsia"/>
        </w:rPr>
        <w:t>.5.2 智能视频会议</w:t>
      </w:r>
    </w:p>
    <w:p w14:paraId="68320D2F">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施工现场宜安装智能视频会议系统，以提高协作效率和决策速度。</w:t>
      </w:r>
    </w:p>
    <w:p w14:paraId="6330B870">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系统应能接入现场视频监控、会议终端，宜与智慧工地指挥中心功能结合，调取正在处置中的报警数据、视频及历史数据信息。</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p>
    <w:p w14:paraId="5F207DE6">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系统应支持多路视频、多方语音、桌面共享、媒体文件广播、文字交流、电子举手、会议发起、会中秩序控制、电话呼叫、会议录像；宜支持会后统计、录像管理、录像回放。</w:t>
      </w:r>
    </w:p>
    <w:p w14:paraId="7C8AB8E4">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系统应与企业平台联通，宜与行业平台联通，并能进行远程指挥调度。</w:t>
      </w:r>
    </w:p>
    <w:p w14:paraId="70E408F2">
      <w:pPr>
        <w:tabs>
          <w:tab w:val="left" w:pos="6"/>
          <w:tab w:val="left" w:pos="426"/>
          <w:tab w:val="left" w:pos="567"/>
        </w:tabs>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 与工程质量相关的会议数据应至少保存至竣工验收，宜长期保存；其它会议数据应具备本地和云存储功能。</w:t>
      </w:r>
    </w:p>
    <w:p w14:paraId="77383182">
      <w:pPr>
        <w:tabs>
          <w:tab w:val="left" w:pos="6"/>
          <w:tab w:val="left" w:pos="426"/>
          <w:tab w:val="left" w:pos="567"/>
        </w:tabs>
        <w:spacing w:line="360" w:lineRule="auto"/>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 xml:space="preserve">6 </w:t>
      </w:r>
      <w:r>
        <w:rPr>
          <w:rFonts w:hint="eastAsia" w:ascii="宋体" w:hAnsi="宋体" w:cs="宋体"/>
          <w:color w:val="000000" w:themeColor="text1"/>
          <w:kern w:val="0"/>
          <w:szCs w:val="21"/>
          <w14:textFill>
            <w14:solidFill>
              <w14:schemeClr w14:val="tx1"/>
            </w14:solidFill>
          </w14:textFill>
        </w:rPr>
        <w:t>视频会议应包含时间日期、会议纪要、会议录像等数据</w:t>
      </w:r>
      <w:r>
        <w:rPr>
          <w:rFonts w:hint="eastAsia" w:ascii="宋体" w:hAnsi="宋体" w:cs="宋体"/>
          <w:color w:val="000000" w:themeColor="text1"/>
          <w:szCs w:val="21"/>
          <w14:textFill>
            <w14:solidFill>
              <w14:schemeClr w14:val="tx1"/>
            </w14:solidFill>
          </w14:textFill>
        </w:rPr>
        <w:t>。</w:t>
      </w:r>
    </w:p>
    <w:p w14:paraId="41D04355">
      <w:pPr>
        <w:pStyle w:val="88"/>
      </w:pPr>
      <w:r>
        <w:t>5</w:t>
      </w:r>
      <w:r>
        <w:rPr>
          <w:rFonts w:hint="eastAsia"/>
        </w:rPr>
        <w:t>.5.3 智慧物料管理系统</w:t>
      </w:r>
    </w:p>
    <w:p w14:paraId="6DB3FE80">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kern w:val="0"/>
          <w:szCs w:val="21"/>
          <w14:textFill>
            <w14:solidFill>
              <w14:schemeClr w14:val="tx1"/>
            </w14:solidFill>
          </w14:textFill>
        </w:rPr>
        <w:t>施工现场</w:t>
      </w:r>
      <w:r>
        <w:rPr>
          <w:rFonts w:hint="eastAsia" w:ascii="宋体" w:hAnsi="宋体" w:cs="宋体"/>
          <w:color w:val="000000" w:themeColor="text1"/>
          <w:szCs w:val="21"/>
          <w14:textFill>
            <w14:solidFill>
              <w14:schemeClr w14:val="tx1"/>
            </w14:solidFill>
          </w14:textFill>
        </w:rPr>
        <w:t>宜</w:t>
      </w:r>
      <w:r>
        <w:rPr>
          <w:rFonts w:hint="eastAsia" w:ascii="宋体" w:hAnsi="宋体" w:cs="宋体"/>
          <w:color w:val="000000" w:themeColor="text1"/>
          <w:kern w:val="0"/>
          <w:szCs w:val="21"/>
          <w14:textFill>
            <w14:solidFill>
              <w14:schemeClr w14:val="tx1"/>
            </w14:solidFill>
          </w14:textFill>
        </w:rPr>
        <w:t>安装智能地磅系统，并与各类称重设备集成。</w:t>
      </w:r>
      <w:r>
        <w:rPr>
          <w:rFonts w:hint="eastAsia" w:ascii="宋体" w:hAnsi="宋体" w:cs="宋体"/>
          <w:color w:val="000000" w:themeColor="text1"/>
          <w:szCs w:val="21"/>
          <w14:textFill>
            <w14:solidFill>
              <w14:schemeClr w14:val="tx1"/>
            </w14:solidFill>
          </w14:textFill>
        </w:rPr>
        <w:t>系统应涵盖</w:t>
      </w:r>
      <w:r>
        <w:rPr>
          <w:rFonts w:hint="eastAsia" w:ascii="宋体" w:hAnsi="宋体" w:cs="宋体"/>
          <w:color w:val="000000" w:themeColor="text1"/>
          <w:kern w:val="0"/>
          <w:szCs w:val="21"/>
          <w14:textFill>
            <w14:solidFill>
              <w14:schemeClr w14:val="tx1"/>
            </w14:solidFill>
          </w14:textFill>
        </w:rPr>
        <w:t>钢筋、预拌混凝土等材料运输车辆自动识别</w:t>
      </w:r>
      <w:r>
        <w:rPr>
          <w:rFonts w:hint="eastAsia" w:ascii="宋体" w:hAnsi="宋体" w:cs="宋体"/>
          <w:color w:val="000000" w:themeColor="text1"/>
          <w:szCs w:val="21"/>
          <w14:textFill>
            <w14:solidFill>
              <w14:schemeClr w14:val="tx1"/>
            </w14:solidFill>
          </w14:textFill>
        </w:rPr>
        <w:t>、人车料视频监控、</w:t>
      </w:r>
      <w:r>
        <w:rPr>
          <w:rFonts w:hint="eastAsia" w:ascii="宋体" w:hAnsi="宋体" w:cs="宋体"/>
          <w:color w:val="000000" w:themeColor="text1"/>
          <w:kern w:val="0"/>
          <w:szCs w:val="21"/>
          <w14:textFill>
            <w14:solidFill>
              <w14:schemeClr w14:val="tx1"/>
            </w14:solidFill>
          </w14:textFill>
        </w:rPr>
        <w:t>称重、</w:t>
      </w:r>
      <w:r>
        <w:rPr>
          <w:rFonts w:hint="eastAsia" w:ascii="宋体" w:hAnsi="宋体" w:cs="宋体"/>
          <w:color w:val="000000" w:themeColor="text1"/>
          <w:szCs w:val="21"/>
          <w14:textFill>
            <w14:solidFill>
              <w14:schemeClr w14:val="tx1"/>
            </w14:solidFill>
          </w14:textFill>
        </w:rPr>
        <w:t>运单图片上传、移动收发、磅单打印、出场车辆重量监测、异常监控、偏差计算、</w:t>
      </w:r>
      <w:r>
        <w:rPr>
          <w:rFonts w:hint="eastAsia" w:ascii="宋体" w:hAnsi="宋体" w:cs="宋体"/>
          <w:color w:val="000000" w:themeColor="text1"/>
          <w:kern w:val="0"/>
          <w:szCs w:val="21"/>
          <w14:textFill>
            <w14:solidFill>
              <w14:schemeClr w14:val="tx1"/>
            </w14:solidFill>
          </w14:textFill>
        </w:rPr>
        <w:t>数据上传、统计分析</w:t>
      </w:r>
      <w:r>
        <w:rPr>
          <w:rFonts w:hint="eastAsia" w:ascii="宋体" w:hAnsi="宋体" w:cs="宋体"/>
          <w:color w:val="000000" w:themeColor="text1"/>
          <w:szCs w:val="21"/>
          <w14:textFill>
            <w14:solidFill>
              <w14:schemeClr w14:val="tx1"/>
            </w14:solidFill>
          </w14:textFill>
        </w:rPr>
        <w:t>等功能。</w:t>
      </w:r>
    </w:p>
    <w:p w14:paraId="2D37608C">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 </w:t>
      </w:r>
      <w:r>
        <w:rPr>
          <w:rFonts w:hint="eastAsia" w:ascii="宋体" w:hAnsi="宋体" w:cs="宋体"/>
          <w:iCs/>
          <w:color w:val="000000" w:themeColor="text1"/>
          <w:szCs w:val="21"/>
          <w14:textFill>
            <w14:solidFill>
              <w14:schemeClr w14:val="tx1"/>
            </w14:solidFill>
          </w14:textFill>
        </w:rPr>
        <w:t>施工现场宜配备材料智能点检系统，</w:t>
      </w:r>
      <w:r>
        <w:rPr>
          <w:rFonts w:hint="eastAsia" w:ascii="宋体" w:hAnsi="宋体" w:cs="宋体"/>
          <w:color w:val="000000" w:themeColor="text1"/>
          <w:szCs w:val="21"/>
          <w14:textFill>
            <w14:solidFill>
              <w14:schemeClr w14:val="tx1"/>
            </w14:solidFill>
          </w14:textFill>
        </w:rPr>
        <w:t>利用先进的AI图像识别技术，实现对钢筋、钢管等材料的快速计数计量、推定重量的进场计量功能，提升入场检验的效率与准确性。</w:t>
      </w:r>
    </w:p>
    <w:p w14:paraId="407FB200">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应能全面监控称重过程，自动采集数据，即时上传项目平台，宜上传企业平台。</w:t>
      </w:r>
    </w:p>
    <w:p w14:paraId="7DDC8D5A">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宜支持无人值守模式，通过软硬件结合方式实现自助称重。</w:t>
      </w:r>
    </w:p>
    <w:p w14:paraId="1127B05B">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宜满足计量单位自动换算、偏差自动判断，自动生成二维码防伪的称重单、专业物料进场表单。宜具有自动计量、将计量结果与采购计划自动比对等功能。</w:t>
      </w:r>
    </w:p>
    <w:p w14:paraId="3AA553DF">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应支持建筑物资采购计划、进场验收、使用到剩余物资退还的全过程管理。宜实现多维度统数据分析，支持按物料类型、进出场时间、时间段、供应厂商、出场车辆重量、偏差情况、智能对账、结算等多种维度进行深度分析。</w:t>
      </w:r>
    </w:p>
    <w:p w14:paraId="738F706B">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宜引入实时风险预警机制，提供管理应用报告、远程视频监控接入、APP端可视化操控界面和即时消息推送。物料库存量不满足生产需求时，系统应具有提示功能。</w:t>
      </w:r>
    </w:p>
    <w:p w14:paraId="60D8B3FA">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 宜具有物资库存管理、采购管理、物资进场验收、物资入库、物资出库、物资调拨、物资跟踪、物资退还、物资台帐管理等功能。实现物料从进场到退场、入库、出库、使用的全链条信息管理，确保物料流动的透明化和高效率。</w:t>
      </w:r>
    </w:p>
    <w:p w14:paraId="747D6871">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宜借助</w:t>
      </w:r>
      <w:r>
        <w:rPr>
          <w:rFonts w:hint="eastAsia" w:ascii="宋体" w:hAnsi="宋体" w:cs="宋体"/>
          <w:color w:val="000000" w:themeColor="text1"/>
          <w:szCs w:val="21"/>
          <w:lang w:val="en-US" w:eastAsia="zh-CN"/>
          <w14:textFill>
            <w14:solidFill>
              <w14:schemeClr w14:val="tx1"/>
            </w14:solidFill>
          </w14:textFill>
        </w:rPr>
        <w:t>BIM</w:t>
      </w:r>
      <w:r>
        <w:rPr>
          <w:rFonts w:hint="eastAsia" w:ascii="宋体" w:hAnsi="宋体" w:cs="宋体"/>
          <w:color w:val="000000" w:themeColor="text1"/>
          <w:szCs w:val="21"/>
          <w14:textFill>
            <w14:solidFill>
              <w14:schemeClr w14:val="tx1"/>
            </w14:solidFill>
          </w14:textFill>
        </w:rPr>
        <w:t>技术，直观展示现场各区域物料分布状态，提升空间管理和决策支持水平。</w:t>
      </w:r>
    </w:p>
    <w:p w14:paraId="0A1CA31A">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 xml:space="preserve"> 宜建立按批次进行物料质量检测和使用情况的档案管理体系，确保每一批次物料的来源、质量及使用过程均可追溯。 </w:t>
      </w:r>
    </w:p>
    <w:p w14:paraId="07A9CD3A">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 xml:space="preserve"> 物料进场信息记录应详尽，包括物料编号、物料名称、规格、型号、进场数量、计量单位、合格证件、进场时间、材料员、送货人、生产厂家、供应单位、购买单</w:t>
      </w:r>
      <w:r>
        <w:rPr>
          <w:rFonts w:hint="eastAsia" w:ascii="宋体" w:hAnsi="宋体" w:cs="宋体"/>
          <w:szCs w:val="21"/>
        </w:rPr>
        <w:t>位等信</w:t>
      </w:r>
      <w:r>
        <w:rPr>
          <w:rFonts w:hint="eastAsia" w:ascii="宋体" w:hAnsi="宋体" w:cs="宋体"/>
          <w:color w:val="000000" w:themeColor="text1"/>
          <w:szCs w:val="21"/>
          <w14:textFill>
            <w14:solidFill>
              <w14:schemeClr w14:val="tx1"/>
            </w14:solidFill>
          </w14:textFill>
        </w:rPr>
        <w:t>息。</w:t>
      </w:r>
    </w:p>
    <w:p w14:paraId="1832E711">
      <w:pPr>
        <w:tabs>
          <w:tab w:val="left" w:pos="6"/>
          <w:tab w:val="left" w:pos="426"/>
          <w:tab w:val="left" w:pos="567"/>
        </w:tabs>
        <w:spacing w:line="360" w:lineRule="auto"/>
        <w:ind w:firstLine="420" w:firstLineChars="200"/>
        <w:jc w:val="left"/>
        <w:rPr>
          <w:rFonts w:ascii="宋体" w:hAnsi="宋体" w:cs="宋体"/>
          <w:szCs w:val="21"/>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 xml:space="preserve"> 物料退场信息记录应详尽，包括但不限于物料编号、物料名称、规格、型号、退场数量、计量单位、退场时间、退料人、见证人、生产厂家、供应单位、购买单位、退场原因形成数据资产应上传项目平台，宜上传企业平台。</w:t>
      </w:r>
    </w:p>
    <w:p w14:paraId="73D7251B">
      <w:pPr>
        <w:tabs>
          <w:tab w:val="left" w:pos="6"/>
        </w:tabs>
        <w:spacing w:line="360" w:lineRule="auto"/>
        <w:ind w:firstLine="420" w:firstLineChars="200"/>
      </w:pPr>
      <w:r>
        <w:t xml:space="preserve">13 </w:t>
      </w:r>
      <w:r>
        <w:rPr>
          <w:rFonts w:hint="eastAsia"/>
        </w:rPr>
        <w:t>施工现场物料监管数据应保存至工程竣工。</w:t>
      </w:r>
    </w:p>
    <w:p w14:paraId="1FB763EA">
      <w:pPr>
        <w:pStyle w:val="88"/>
      </w:pPr>
      <w:r>
        <w:t>5</w:t>
      </w:r>
      <w:r>
        <w:rPr>
          <w:rFonts w:hint="eastAsia"/>
        </w:rPr>
        <w:t>.5.4  WIFI网络安全教育</w:t>
      </w:r>
    </w:p>
    <w:p w14:paraId="5980B916">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施工现场宜部署WIFI网络安全教育系统，实现使用人在接入WIFI网络前，通过完成安全知识问答或观看安全教育视频的形式获得网络访问权限，以提升工人安全意识与专业技能。</w:t>
      </w:r>
    </w:p>
    <w:p w14:paraId="3A4959DC">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系统应依据工程实际需求与工种特性，差异化定制问题库与视频资料，确保教育内容与工人的实际工作紧密相关。根据内容的重要程度设定不同权重，合理调整展示频率，确保关键信息的高覆盖率。</w:t>
      </w:r>
    </w:p>
    <w:p w14:paraId="2B0910BC">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系统应实现灵活设置每次认证时的问题数量，从动态更新的题库中随机选取题目供WIFI使用人做答；支持WIFI使用人选择做答题目类型或视频。</w:t>
      </w:r>
    </w:p>
    <w:p w14:paraId="15D3BE89">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系统应自动收集、保存WIFI网络教育的所有互动数据，宜上传企业平台。</w:t>
      </w:r>
    </w:p>
    <w:p w14:paraId="7741571F">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系统宜与工地现场人员管理及培训系统集成，自动汇总教育活动数据，形成完整的个人培训记录，便于管理人员监督教育进度与成效。</w:t>
      </w:r>
    </w:p>
    <w:p w14:paraId="20B839CC">
      <w:pPr>
        <w:tabs>
          <w:tab w:val="left" w:pos="6"/>
          <w:tab w:val="left" w:pos="426"/>
          <w:tab w:val="left" w:pos="567"/>
        </w:tabs>
        <w:spacing w:line="360" w:lineRule="auto"/>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6 系统应全面记录的教育信息，包含被教育人员身份、具体教育内容、教育时间、持续时长以、完成状态等内容。</w:t>
      </w:r>
    </w:p>
    <w:p w14:paraId="568E1290">
      <w:pPr>
        <w:pStyle w:val="88"/>
      </w:pPr>
      <w:r>
        <w:t>5</w:t>
      </w:r>
      <w:r>
        <w:rPr>
          <w:rFonts w:hint="eastAsia"/>
        </w:rPr>
        <w:t>.5.5 数字签章管理</w:t>
      </w:r>
    </w:p>
    <w:p w14:paraId="236AF4C8">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施工管理过程中宜采用数字证书与电子签章技术，以实现文档审批、合同签署等关键流程的数字化和无纸化操作，提升管理效率与环保水平。电子签章文档资料与纸质资料具有同等法律效力。</w:t>
      </w:r>
    </w:p>
    <w:p w14:paraId="593D67A9">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 系统应支持对 PDF、Word、Excel等格式文件进行电子签章，应具备多单位协同作业能力，允许多个参与方在同一份文档上依次进行签章操作。 </w:t>
      </w:r>
    </w:p>
    <w:p w14:paraId="23BE916B">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 系统应集成山东省官方认可的数字证书认证机构（CA）提供的证书，确保数字签章过程的数据来源可靠，签章行为合法有效。 </w:t>
      </w:r>
    </w:p>
    <w:p w14:paraId="60DD733C">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系统应提供对导入的电子签章模型进行全面管理的能力，包括签章的授权分配、撤销、状态查询、维护更新等操作，确保签章资源的有序和安全使用。 </w:t>
      </w:r>
    </w:p>
    <w:p w14:paraId="2A9ABBEF">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 系统应提供丰富的API接口，使得签章操作能够通过API接口调用灵活集成到各类业务系统中。宜结合人脸识别、短信验证码、用户密码认证或手写板签名等多种安全验证手段，强化签章过程的安全防护。 </w:t>
      </w:r>
    </w:p>
    <w:p w14:paraId="0D289253">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系统应记录每次电子签章操作，确保签章行为的可追溯性，并提供查询和验证功能，以备</w:t>
      </w:r>
      <w:r>
        <w:rPr>
          <w:rFonts w:hint="eastAsia"/>
          <w:color w:val="000000" w:themeColor="text1"/>
          <w:szCs w:val="21"/>
          <w14:textFill>
            <w14:solidFill>
              <w14:schemeClr w14:val="tx1"/>
            </w14:solidFill>
          </w14:textFill>
        </w:rPr>
        <w:t>后续审计和合规审查之需。</w:t>
      </w:r>
    </w:p>
    <w:p w14:paraId="68822D1A">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系统宜提供SaaS、API或SDK及本地部署等多种应用模式。</w:t>
      </w:r>
    </w:p>
    <w:p w14:paraId="65092C10">
      <w:pPr>
        <w:tabs>
          <w:tab w:val="left" w:pos="6"/>
          <w:tab w:val="left" w:pos="426"/>
          <w:tab w:val="left" w:pos="567"/>
        </w:tabs>
        <w:spacing w:line="360" w:lineRule="auto"/>
        <w:ind w:firstLine="420" w:firstLineChars="200"/>
        <w:jc w:val="left"/>
        <w:rPr>
          <w:rFonts w:ascii="宋体" w:hAnsi="宋体" w:cs="宋体"/>
        </w:rPr>
      </w:pPr>
      <w:r>
        <w:rPr>
          <w:rFonts w:hint="eastAsia" w:ascii="宋体" w:hAnsi="宋体" w:cs="宋体"/>
          <w:color w:val="000000" w:themeColor="text1"/>
          <w:szCs w:val="21"/>
          <w14:textFill>
            <w14:solidFill>
              <w14:schemeClr w14:val="tx1"/>
            </w14:solidFill>
          </w14:textFill>
        </w:rPr>
        <w:t>8 项目、企业、行业平台宜应用电子签章实现业务办理、表单签署、公文流转，提高办公效率。</w:t>
      </w:r>
    </w:p>
    <w:p w14:paraId="2BEC580D">
      <w:pPr>
        <w:pStyle w:val="88"/>
      </w:pPr>
      <w:r>
        <w:t>5</w:t>
      </w:r>
      <w:r>
        <w:rPr>
          <w:rFonts w:hint="eastAsia"/>
        </w:rPr>
        <w:t>.5.6 智能工期管理系统</w:t>
      </w:r>
    </w:p>
    <w:p w14:paraId="24FAB654">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kern w:val="0"/>
          <w:szCs w:val="21"/>
          <w14:textFill>
            <w14:solidFill>
              <w14:schemeClr w14:val="tx1"/>
            </w14:solidFill>
          </w14:textFill>
        </w:rPr>
        <w:t>施工现场应建立智能工期管理系统，</w:t>
      </w:r>
      <w:r>
        <w:rPr>
          <w:rFonts w:hint="eastAsia" w:ascii="宋体" w:hAnsi="宋体" w:cs="宋体"/>
          <w:color w:val="000000" w:themeColor="text1"/>
          <w:szCs w:val="21"/>
          <w14:textFill>
            <w14:solidFill>
              <w14:schemeClr w14:val="tx1"/>
            </w14:solidFill>
          </w14:textFill>
        </w:rPr>
        <w:t xml:space="preserve">涵盖标准工作任务管理、项目施工任务管理、项目工期计划管理，宜实现工期动态跟踪、项目模型可视化、形象工期统计、生产工期看板、工期资料管理、项目风险预警管理等功能。 </w:t>
      </w:r>
    </w:p>
    <w:p w14:paraId="4131728E">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 </w:t>
      </w:r>
      <w:r>
        <w:rPr>
          <w:rFonts w:hint="eastAsia" w:ascii="宋体" w:hAnsi="宋体" w:cs="宋体"/>
          <w:color w:val="000000" w:themeColor="text1"/>
          <w:kern w:val="0"/>
          <w:szCs w:val="21"/>
          <w14:textFill>
            <w14:solidFill>
              <w14:schemeClr w14:val="tx1"/>
            </w14:solidFill>
          </w14:textFill>
        </w:rPr>
        <w:t>系统</w:t>
      </w:r>
      <w:r>
        <w:rPr>
          <w:rFonts w:hint="eastAsia" w:ascii="宋体" w:hAnsi="宋体" w:cs="宋体"/>
          <w:color w:val="000000" w:themeColor="text1"/>
          <w:szCs w:val="21"/>
          <w14:textFill>
            <w14:solidFill>
              <w14:schemeClr w14:val="tx1"/>
            </w14:solidFill>
          </w14:textFill>
        </w:rPr>
        <w:t>宜具备标准工作任务管理功能，并可根据工程具体需求进行扩展。标准工作任务应广泛适用于多个工程项目，保持必要的稳定性和通用性。</w:t>
      </w:r>
    </w:p>
    <w:p w14:paraId="21049AB6">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 </w:t>
      </w:r>
      <w:r>
        <w:rPr>
          <w:rFonts w:hint="eastAsia" w:ascii="宋体" w:hAnsi="宋体" w:cs="宋体"/>
          <w:color w:val="000000" w:themeColor="text1"/>
          <w:kern w:val="0"/>
          <w:szCs w:val="21"/>
          <w14:textFill>
            <w14:solidFill>
              <w14:schemeClr w14:val="tx1"/>
            </w14:solidFill>
          </w14:textFill>
        </w:rPr>
        <w:t>系统宜支持</w:t>
      </w:r>
      <w:r>
        <w:rPr>
          <w:rFonts w:hint="eastAsia" w:ascii="宋体" w:hAnsi="宋体" w:cs="宋体"/>
          <w:color w:val="000000" w:themeColor="text1"/>
          <w:szCs w:val="21"/>
          <w14:textFill>
            <w14:solidFill>
              <w14:schemeClr w14:val="tx1"/>
            </w14:solidFill>
          </w14:textFill>
        </w:rPr>
        <w:t>总计划、期间计划、周计划等多级次的计划制定，支持计划的便捷导入、在线编辑、实时审批及自动汇总。</w:t>
      </w:r>
    </w:p>
    <w:p w14:paraId="48B00BE3">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kern w:val="0"/>
          <w:szCs w:val="21"/>
          <w14:textFill>
            <w14:solidFill>
              <w14:schemeClr w14:val="tx1"/>
            </w14:solidFill>
          </w14:textFill>
        </w:rPr>
        <w:t>系统</w:t>
      </w:r>
      <w:r>
        <w:rPr>
          <w:rFonts w:hint="eastAsia" w:ascii="宋体" w:hAnsi="宋体" w:cs="宋体"/>
          <w:color w:val="000000" w:themeColor="text1"/>
          <w:szCs w:val="21"/>
          <w14:textFill>
            <w14:solidFill>
              <w14:schemeClr w14:val="tx1"/>
            </w14:solidFill>
          </w14:textFill>
        </w:rPr>
        <w:t>宜支持根据工程实体和工作任务来创建、维护和管理施工任务，实现任务的在线编辑、可视化展示、以及导入导出，宜具备工期信息预警、提醒推送功能。</w:t>
      </w:r>
    </w:p>
    <w:p w14:paraId="24C4E027">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施工任务信息应包括任务名称、施工部位、计划开始时间、计划结束时间、实际开始时间、实际结束时间、前置任务；宜包括责任人、参与人、责任单位、工作量、计量单位、动态完成百分比、劳动力资源记录、延期原因与解决措施；应支持自定义扩展字段补充任务信息。</w:t>
      </w:r>
    </w:p>
    <w:p w14:paraId="2FD80618">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系统宜具备辅助计划编制工具，支持多维度计划分析与智能动态调优，按项目基础信息自动解析并完善计划项、智能设置穿插逻辑、工期压缩规则，辅助生成施工工期计划，输出工期计划横道图，提供成本最优、工期最优、综合平衡等多维度的最优计划方案，指导现场劳动力、材料、机械安排。</w:t>
      </w:r>
    </w:p>
    <w:p w14:paraId="0D6E9CF7">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 </w:t>
      </w:r>
      <w:r>
        <w:rPr>
          <w:rFonts w:hint="eastAsia" w:ascii="宋体" w:hAnsi="宋体" w:cs="宋体"/>
          <w:color w:val="000000" w:themeColor="text1"/>
          <w:kern w:val="0"/>
          <w:szCs w:val="21"/>
          <w14:textFill>
            <w14:solidFill>
              <w14:schemeClr w14:val="tx1"/>
            </w14:solidFill>
          </w14:textFill>
        </w:rPr>
        <w:t>系统</w:t>
      </w:r>
      <w:r>
        <w:rPr>
          <w:rFonts w:hint="eastAsia" w:ascii="宋体" w:hAnsi="宋体" w:cs="宋体"/>
          <w:color w:val="000000" w:themeColor="text1"/>
          <w:szCs w:val="21"/>
          <w14:textFill>
            <w14:solidFill>
              <w14:schemeClr w14:val="tx1"/>
            </w14:solidFill>
          </w14:textFill>
        </w:rPr>
        <w:t>宜支持动态展现施工工期、关键线路变化，宜与分部分项检验批工程验收相结合，使用文字、图片、视频等素材动态表现施工进展、完成情况；宜支持使用电脑端、移动端进行访问。</w:t>
      </w:r>
    </w:p>
    <w:p w14:paraId="678865D4">
      <w:pPr>
        <w:tabs>
          <w:tab w:val="left" w:pos="6"/>
          <w:tab w:val="left" w:pos="426"/>
          <w:tab w:val="left" w:pos="567"/>
        </w:tabs>
        <w:spacing w:line="360" w:lineRule="auto"/>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 xml:space="preserve">8 系统应支持施工工期对比分析，实时对比实际工期与计划工期差异，具备临近预警、超期报警等功能，可根据项目情况设置预警规则和预警通知人。宜支持工期调整并留存历史工期计划。 </w:t>
      </w:r>
    </w:p>
    <w:p w14:paraId="76B75565">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施工进展宜与项目模型联动，实现二维及三维可视化展示，三维可视化宜基于建筑BIM模型或三维动画，结合现场实际工期动态展示。</w:t>
      </w:r>
    </w:p>
    <w:p w14:paraId="72540CA8">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 系统宜支持里程碑节点、工期管理，能够根据实际时间自动汇总推算。</w:t>
      </w:r>
    </w:p>
    <w:p w14:paraId="1D768ABC">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系统宜支持生成即时工期看板、工期资料管理。</w:t>
      </w:r>
    </w:p>
    <w:p w14:paraId="67B511F4">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系统宜支持劳动力、材料、机械设备、工程量产值统计，统计数据自动汇总形成台账。</w:t>
      </w:r>
    </w:p>
    <w:p w14:paraId="287EBEAB">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现场形象工期统计、项目模型可视化、生产工期看板、项目风险预警信息应上传项目、企业平台。</w:t>
      </w:r>
    </w:p>
    <w:p w14:paraId="216577B8">
      <w:pPr>
        <w:pStyle w:val="88"/>
      </w:pPr>
      <w:r>
        <w:t xml:space="preserve">5.5.7 </w:t>
      </w:r>
      <w:r>
        <w:rPr>
          <w:rFonts w:hint="eastAsia"/>
        </w:rPr>
        <w:t>智能进度识别管理</w:t>
      </w:r>
    </w:p>
    <w:p w14:paraId="4CAEA044">
      <w:pPr>
        <w:tabs>
          <w:tab w:val="left" w:pos="6"/>
          <w:tab w:val="left" w:pos="426"/>
          <w:tab w:val="left" w:pos="567"/>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应利用AI技术自动对现场施工进度进行识别，包括模板支撑、钢筋绑扎、混凝土浇筑等工序，自动记录各工序施工时间，并统计每层施工时间，形成实际进度报告。</w:t>
      </w:r>
    </w:p>
    <w:p w14:paraId="6247230C">
      <w:pPr>
        <w:pStyle w:val="35"/>
        <w:ind w:firstLine="420"/>
      </w:pPr>
      <w:r>
        <w:t xml:space="preserve">2 </w:t>
      </w:r>
      <w:r>
        <w:rPr>
          <w:rFonts w:hint="eastAsia"/>
        </w:rPr>
        <w:t>应对施工作业面进行全景拍摄，自动拼接形成作业面区域全景图。</w:t>
      </w:r>
    </w:p>
    <w:p w14:paraId="5E187519">
      <w:pPr>
        <w:pStyle w:val="35"/>
        <w:ind w:firstLine="420"/>
      </w:pPr>
      <w:r>
        <w:rPr>
          <w:rFonts w:hint="eastAsia"/>
        </w:rPr>
        <w:t>3</w:t>
      </w:r>
      <w:r>
        <w:t xml:space="preserve"> </w:t>
      </w:r>
      <w:r>
        <w:rPr>
          <w:rFonts w:hint="eastAsia"/>
        </w:rPr>
        <w:t>应实现施工作业面的施工进度监控定时记录，可回溯展示不同时间施工作业面的进度情况。</w:t>
      </w:r>
    </w:p>
    <w:p w14:paraId="6B5135F1">
      <w:pPr>
        <w:pStyle w:val="35"/>
        <w:ind w:firstLine="420"/>
      </w:pPr>
      <w:r>
        <w:rPr>
          <w:rFonts w:hint="eastAsia"/>
        </w:rPr>
        <w:t>4</w:t>
      </w:r>
      <w:r>
        <w:t xml:space="preserve"> </w:t>
      </w:r>
      <w:r>
        <w:rPr>
          <w:rFonts w:hint="eastAsia"/>
        </w:rPr>
        <w:t>宜实现按照不同分部分项工程，分区域对施工作业面进行识别，支持复杂场景交叉施工进度识别。</w:t>
      </w:r>
    </w:p>
    <w:p w14:paraId="258F540A">
      <w:pPr>
        <w:pStyle w:val="88"/>
      </w:pPr>
      <w:r>
        <w:t>5</w:t>
      </w:r>
      <w:r>
        <w:rPr>
          <w:rFonts w:hint="eastAsia"/>
        </w:rPr>
        <w:t>.5.8 智能广播</w:t>
      </w:r>
    </w:p>
    <w:p w14:paraId="0697D648">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应在施工区、办公区、生活区安装智能广播系统。</w:t>
      </w:r>
    </w:p>
    <w:p w14:paraId="0A04490C">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应通过智能终端设备及移动端等方式，实现点对点语音或文字转语音方式进行喊话、定位广播、分区域广播。</w:t>
      </w:r>
    </w:p>
    <w:p w14:paraId="6173105F">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智能广播系统宜与 AI 视频监控系统联动，自动识别现场违规行为，联动附近广播系统实现自动告警播报、语音提醒。</w:t>
      </w:r>
    </w:p>
    <w:p w14:paraId="16480380">
      <w:pPr>
        <w:pStyle w:val="88"/>
      </w:pPr>
      <w:r>
        <w:t>5</w:t>
      </w:r>
      <w:r>
        <w:rPr>
          <w:rFonts w:hint="eastAsia"/>
        </w:rPr>
        <w:t>.5.9巡检影像留存管理</w:t>
      </w:r>
    </w:p>
    <w:p w14:paraId="63BB0A0F">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应通过360全景相机，快速记录现场全貌图片或视频。</w:t>
      </w:r>
    </w:p>
    <w:p w14:paraId="197DC302">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应通过系统AI运算自动关联图纸位置信息，点击图纸相应位置，即可查看该位置的全景画面。</w:t>
      </w:r>
    </w:p>
    <w:p w14:paraId="08AEEA3D">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宜实现BIM模型与现场全景图片对比，以及历史全景图像对比。</w:t>
      </w:r>
    </w:p>
    <w:p w14:paraId="395CD6B7">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生成的全景图像与图纸位置偏差不大于2米。</w:t>
      </w:r>
    </w:p>
    <w:p w14:paraId="39A5F8EE">
      <w:pPr>
        <w:tabs>
          <w:tab w:val="left" w:pos="6"/>
        </w:tabs>
        <w:spacing w:line="36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5 全景图像资料应上传项目、企业、行业平台。</w:t>
      </w:r>
    </w:p>
    <w:p w14:paraId="2F4BA31F">
      <w:pPr>
        <w:pStyle w:val="88"/>
      </w:pPr>
      <w:r>
        <w:t>5</w:t>
      </w:r>
      <w:r>
        <w:rPr>
          <w:rFonts w:hint="eastAsia"/>
        </w:rPr>
        <w:t xml:space="preserve">.5.10 </w:t>
      </w:r>
      <w:r>
        <w:rPr>
          <w:rFonts w:hint="eastAsia"/>
          <w:lang w:val="en-US" w:eastAsia="zh-CN"/>
        </w:rPr>
        <w:t>无人机现场</w:t>
      </w:r>
      <w:r>
        <w:rPr>
          <w:rFonts w:hint="eastAsia"/>
        </w:rPr>
        <w:t>巡检</w:t>
      </w:r>
    </w:p>
    <w:p w14:paraId="03BD9BE1">
      <w:pPr>
        <w:tabs>
          <w:tab w:val="left" w:pos="6"/>
        </w:tabs>
        <w:spacing w:line="36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 xml:space="preserve">1 使用无人机对施工现场施工过程和裸土覆盖进行周期性航拍，形成影像资料，辅助进行质量、安全和扬尘管理。 </w:t>
      </w:r>
    </w:p>
    <w:p w14:paraId="1C11C262">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无人机巡检宜实现巡检智能分析，巡检回传数据可自动进行智能分析，实现安全风险识别，发现异常应现场报警和远程报警。</w:t>
      </w:r>
    </w:p>
    <w:p w14:paraId="705AF38E">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无人机操作人员需持证上岗，具备操控飞行能力。</w:t>
      </w:r>
    </w:p>
    <w:p w14:paraId="6C3E7323">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对于空管控制区域，应依法向飞行管制部门申请，经批准后实施。</w:t>
      </w:r>
    </w:p>
    <w:p w14:paraId="32D3FCED">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 根据工作需要结合工程进度情况，空中巡检次数不低于每月一次。 </w:t>
      </w:r>
    </w:p>
    <w:p w14:paraId="099AE9A4">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及时形成巡检影像资料，在各类工作总结、汇报中应用，影像资料宜包括720全景、视频及图片资料，视频及图片应采用高清分辨率。</w:t>
      </w:r>
    </w:p>
    <w:p w14:paraId="1701EE61">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 巡检影像资料应上传项目、企业、行业平台。</w:t>
      </w:r>
    </w:p>
    <w:p w14:paraId="4022C2C0">
      <w:pPr>
        <w:tabs>
          <w:tab w:val="left" w:pos="6"/>
        </w:tabs>
        <w:spacing w:line="36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8 无人机现场巡检信息应包括巡检时间、无人机编号、无人机型号、无人机操作人员、无人机操作证号、巡检影像。</w:t>
      </w:r>
    </w:p>
    <w:p w14:paraId="10960C7B">
      <w:pPr>
        <w:pStyle w:val="88"/>
      </w:pPr>
      <w:r>
        <w:t>5</w:t>
      </w:r>
      <w:r>
        <w:rPr>
          <w:rFonts w:hint="eastAsia"/>
        </w:rPr>
        <w:t>.5.</w:t>
      </w:r>
      <w:r>
        <w:t>11</w:t>
      </w:r>
      <w:r>
        <w:rPr>
          <w:rFonts w:hint="eastAsia"/>
        </w:rPr>
        <w:t xml:space="preserve"> AR 眼镜巡检交互系统</w:t>
      </w:r>
    </w:p>
    <w:p w14:paraId="67697E28">
      <w:pPr>
        <w:pStyle w:val="85"/>
        <w:ind w:firstLine="42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1 现场人员佩戴 AR 智能设备，按计划路线或根据指令进行巡视，通过设备第一视角共享视频、音频，多终端同步画面，可实现远程指挥调度、无死角观察、检查等现场管理。</w:t>
      </w:r>
    </w:p>
    <w:p w14:paraId="5519BC91">
      <w:pPr>
        <w:pStyle w:val="85"/>
        <w:ind w:firstLine="42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2 通过AR智能眼镜与异地技术专家进行视频和语音沟通，实现远程帮助现场人员解决问题。</w:t>
      </w:r>
    </w:p>
    <w:p w14:paraId="5763E010">
      <w:pPr>
        <w:pStyle w:val="85"/>
        <w:ind w:firstLine="42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3 项目管理人员通过远程指挥，提高现场管理效能，实现现场管理实时监管和应急事件远程协同。</w:t>
      </w:r>
    </w:p>
    <w:p w14:paraId="2D97BA67">
      <w:pPr>
        <w:pStyle w:val="85"/>
        <w:ind w:firstLine="42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4 AR 眼镜交互巡检信息应上传项目、企业、行业平台。</w:t>
      </w:r>
    </w:p>
    <w:p w14:paraId="30D6CD2C">
      <w:pPr>
        <w:tabs>
          <w:tab w:val="left" w:pos="6"/>
        </w:tabs>
        <w:spacing w:line="36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5 视频数据应具备本地和</w:t>
      </w:r>
      <w:r>
        <w:rPr>
          <w:rFonts w:ascii="宋体" w:hAnsi="宋体" w:cs="宋体"/>
          <w:color w:val="000000" w:themeColor="text1"/>
          <w14:textFill>
            <w14:solidFill>
              <w14:schemeClr w14:val="tx1"/>
            </w14:solidFill>
          </w14:textFill>
        </w:rPr>
        <w:t>云存储</w:t>
      </w:r>
      <w:r>
        <w:rPr>
          <w:rFonts w:hint="eastAsia" w:ascii="宋体" w:hAnsi="宋体" w:cs="宋体"/>
          <w:color w:val="000000" w:themeColor="text1"/>
          <w14:textFill>
            <w14:solidFill>
              <w14:schemeClr w14:val="tx1"/>
            </w14:solidFill>
          </w14:textFill>
        </w:rPr>
        <w:t>功能</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p>
    <w:p w14:paraId="3B89DCF6">
      <w:pPr>
        <w:tabs>
          <w:tab w:val="left" w:pos="6"/>
        </w:tabs>
        <w:spacing w:line="360" w:lineRule="auto"/>
        <w:ind w:firstLine="420" w:firstLineChars="200"/>
      </w:pPr>
      <w:r>
        <w:rPr>
          <w:rFonts w:hint="eastAsia" w:ascii="宋体" w:hAnsi="宋体" w:cs="宋体"/>
          <w:color w:val="000000" w:themeColor="text1"/>
          <w14:textFill>
            <w14:solidFill>
              <w14:schemeClr w14:val="tx1"/>
            </w14:solidFill>
          </w14:textFill>
        </w:rPr>
        <w:t>6 AR 眼镜交互巡检信息应包括巡检时间、智能眼镜编号、智能眼镜型号、巡检人员、巡检影像。</w:t>
      </w:r>
    </w:p>
    <w:p w14:paraId="5D4E0144">
      <w:pPr>
        <w:pStyle w:val="40"/>
        <w:ind w:firstLine="0" w:firstLineChars="0"/>
        <w:jc w:val="center"/>
        <w:outlineLvl w:val="1"/>
        <w:rPr>
          <w:rFonts w:hint="eastAsia" w:ascii="仿宋_GB2312" w:hAnsi="仿宋_GB2312" w:eastAsia="宋体" w:cs="仿宋_GB2312"/>
          <w:b/>
          <w:bCs/>
          <w:color w:val="000000" w:themeColor="text1"/>
          <w:sz w:val="28"/>
          <w:szCs w:val="28"/>
          <w:lang w:val="en-US" w:eastAsia="zh-CN"/>
          <w14:textFill>
            <w14:solidFill>
              <w14:schemeClr w14:val="tx1"/>
            </w14:solidFill>
          </w14:textFill>
        </w:rPr>
      </w:pPr>
      <w:bookmarkStart w:id="106" w:name="_Toc2913"/>
      <w:bookmarkStart w:id="107" w:name="_Toc32025"/>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6</w:t>
      </w:r>
      <w:r>
        <w:rPr>
          <w:rFonts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人员</w:t>
      </w:r>
      <w:r>
        <w:rPr>
          <w:rFonts w:hint="eastAsia" w:ascii="黑体" w:hAnsi="黑体" w:eastAsia="黑体" w:cs="黑体"/>
          <w:color w:val="000000" w:themeColor="text1"/>
          <w:szCs w:val="21"/>
          <w:lang w:val="en-US" w:eastAsia="zh-CN"/>
          <w14:textFill>
            <w14:solidFill>
              <w14:schemeClr w14:val="tx1"/>
            </w14:solidFill>
          </w14:textFill>
        </w:rPr>
        <w:t>及班组</w:t>
      </w:r>
      <w:r>
        <w:rPr>
          <w:rFonts w:hint="eastAsia" w:ascii="黑体" w:hAnsi="黑体" w:eastAsia="黑体" w:cs="黑体"/>
          <w:color w:val="000000" w:themeColor="text1"/>
          <w:szCs w:val="21"/>
          <w14:textFill>
            <w14:solidFill>
              <w14:schemeClr w14:val="tx1"/>
            </w14:solidFill>
          </w14:textFill>
        </w:rPr>
        <w:t>管理</w:t>
      </w:r>
      <w:bookmarkEnd w:id="106"/>
      <w:r>
        <w:rPr>
          <w:rStyle w:val="34"/>
          <w:rFonts w:hint="eastAsia" w:ascii="Calibri" w:hAnsi="Calibri"/>
          <w:lang w:val="en-US" w:eastAsia="zh-CN"/>
        </w:rPr>
        <w:t>类</w:t>
      </w:r>
    </w:p>
    <w:p w14:paraId="29D123FB">
      <w:pPr>
        <w:pStyle w:val="88"/>
      </w:pPr>
      <w:r>
        <w:t>5</w:t>
      </w:r>
      <w:r>
        <w:rPr>
          <w:rFonts w:hint="eastAsia"/>
        </w:rPr>
        <w:t>.6.1 人员</w:t>
      </w:r>
      <w:r>
        <w:rPr>
          <w:rFonts w:hint="eastAsia"/>
          <w:lang w:val="en-US" w:eastAsia="zh-CN"/>
        </w:rPr>
        <w:t>信息</w:t>
      </w:r>
      <w:r>
        <w:rPr>
          <w:rFonts w:hint="eastAsia"/>
        </w:rPr>
        <w:t>管理</w:t>
      </w:r>
    </w:p>
    <w:p w14:paraId="11DAACC8">
      <w:pPr>
        <w:pStyle w:val="90"/>
      </w:pPr>
      <w:r>
        <w:rPr>
          <w:rFonts w:hint="eastAsia"/>
        </w:rPr>
        <w:t>1 特种作业人员</w:t>
      </w:r>
    </w:p>
    <w:p w14:paraId="215CE993">
      <w:pPr>
        <w:pStyle w:val="90"/>
      </w:pPr>
      <w:r>
        <w:rPr>
          <w:rFonts w:hint="eastAsia"/>
        </w:rPr>
        <w:t>（1）特种作业人员类型包括起重机械（含电梯）司机、司索信号工、电工、电气焊接（切割）工、爆破工、架子工等；</w:t>
      </w:r>
    </w:p>
    <w:p w14:paraId="31E4E1C6">
      <w:pPr>
        <w:pStyle w:val="90"/>
      </w:pPr>
      <w:r>
        <w:rPr>
          <w:rFonts w:hint="eastAsia"/>
        </w:rPr>
        <w:t>（2）应实现对特种作业人员基本信息进行管理、维护和查询；</w:t>
      </w:r>
    </w:p>
    <w:p w14:paraId="12384B09">
      <w:pPr>
        <w:pStyle w:val="90"/>
      </w:pPr>
      <w:r>
        <w:rPr>
          <w:rFonts w:hint="eastAsia"/>
        </w:rPr>
        <w:t>（3) 应实现对特种作业人员证书有效期、证明文件、培训情况、分析预警管理；</w:t>
      </w:r>
    </w:p>
    <w:p w14:paraId="32375EB3">
      <w:pPr>
        <w:pStyle w:val="90"/>
      </w:pPr>
      <w:r>
        <w:rPr>
          <w:rFonts w:hint="eastAsia"/>
        </w:rPr>
        <w:t>（4）特种作业人员信息包括姓名、身份证号、性别、岗位名称、岗位类型、所属公司、施工班组队伍、进出场时间、特种作业证书及有效期、培训交底记录；</w:t>
      </w:r>
    </w:p>
    <w:p w14:paraId="377936C8">
      <w:pPr>
        <w:pStyle w:val="90"/>
      </w:pPr>
      <w:r>
        <w:rPr>
          <w:rFonts w:hint="eastAsia"/>
        </w:rPr>
        <w:t>（5) 特种作业人员信息应上传至项目、企业、行业平台。</w:t>
      </w:r>
    </w:p>
    <w:p w14:paraId="18DAAC93">
      <w:pPr>
        <w:pStyle w:val="90"/>
      </w:pPr>
      <w:r>
        <w:rPr>
          <w:rFonts w:hint="eastAsia"/>
        </w:rPr>
        <w:t>2 安全从业人员</w:t>
      </w:r>
    </w:p>
    <w:p w14:paraId="0E2E28D6">
      <w:pPr>
        <w:pStyle w:val="90"/>
      </w:pPr>
      <w:r>
        <w:rPr>
          <w:rFonts w:hint="eastAsia"/>
        </w:rPr>
        <w:t>（1）应实现对与安全生产有关管理人员（三类人员）安全证书信息进行管理；</w:t>
      </w:r>
    </w:p>
    <w:p w14:paraId="08BA05F1">
      <w:pPr>
        <w:pStyle w:val="90"/>
      </w:pPr>
      <w:r>
        <w:rPr>
          <w:rFonts w:hint="eastAsia"/>
        </w:rPr>
        <w:t>（2）实现多种分组查询表现；</w:t>
      </w:r>
    </w:p>
    <w:p w14:paraId="1502866D">
      <w:pPr>
        <w:pStyle w:val="90"/>
      </w:pPr>
      <w:r>
        <w:rPr>
          <w:rFonts w:hint="eastAsia"/>
        </w:rPr>
        <w:t>（3)实时获取三类人员安全证书相关信息包括姓名、身份证号、性别、安全证书名称、类型、编号、等级、发证机关、发证日期、有效时间、资格状态等；</w:t>
      </w:r>
    </w:p>
    <w:p w14:paraId="06FF5C77">
      <w:pPr>
        <w:pStyle w:val="90"/>
      </w:pPr>
      <w:r>
        <w:rPr>
          <w:rFonts w:hint="eastAsia"/>
        </w:rPr>
        <w:t>（4）三类人员信息应上传至项目、企业、行业平台。</w:t>
      </w:r>
    </w:p>
    <w:p w14:paraId="6FAC67AC">
      <w:pPr>
        <w:pStyle w:val="90"/>
      </w:pPr>
      <w:r>
        <w:rPr>
          <w:rFonts w:hint="eastAsia"/>
        </w:rPr>
        <w:t>3 执业资格人员</w:t>
      </w:r>
    </w:p>
    <w:p w14:paraId="4BFDA0C5">
      <w:pPr>
        <w:pStyle w:val="90"/>
      </w:pPr>
      <w:r>
        <w:rPr>
          <w:rFonts w:hint="eastAsia"/>
        </w:rPr>
        <w:t>（1）应实现对执业资格人员（施工单位项目负责人、监理单位总监理工程师等）证书信息进行管理、维护和查询；</w:t>
      </w:r>
    </w:p>
    <w:p w14:paraId="514DC917">
      <w:pPr>
        <w:pStyle w:val="90"/>
      </w:pPr>
      <w:r>
        <w:rPr>
          <w:rFonts w:hint="eastAsia"/>
        </w:rPr>
        <w:t>（2）执业资格人员信息应包括姓名、身份证号、注册编号、单位信息、注册专业、有效期等；</w:t>
      </w:r>
    </w:p>
    <w:p w14:paraId="5C65A23C">
      <w:pPr>
        <w:pStyle w:val="90"/>
      </w:pPr>
      <w:r>
        <w:rPr>
          <w:rFonts w:hint="eastAsia"/>
        </w:rPr>
        <w:t>（3) 执业资格人员信息应上传至项目、企业、行业平台。</w:t>
      </w:r>
    </w:p>
    <w:p w14:paraId="0394432F">
      <w:pPr>
        <w:pStyle w:val="90"/>
        <w:rPr>
          <w:color w:val="auto"/>
        </w:rPr>
      </w:pPr>
      <w:r>
        <w:rPr>
          <w:rFonts w:hint="eastAsia"/>
          <w:color w:val="auto"/>
        </w:rPr>
        <w:t>4</w:t>
      </w:r>
      <w:r>
        <w:rPr>
          <w:color w:val="auto"/>
        </w:rPr>
        <w:t xml:space="preserve"> </w:t>
      </w:r>
      <w:r>
        <w:rPr>
          <w:rFonts w:hint="eastAsia"/>
          <w:color w:val="auto"/>
        </w:rPr>
        <w:t>劳务评价</w:t>
      </w:r>
    </w:p>
    <w:p w14:paraId="48774C9A">
      <w:pPr>
        <w:pStyle w:val="35"/>
        <w:ind w:firstLine="420" w:firstLineChars="200"/>
        <w:rPr>
          <w:color w:val="auto"/>
        </w:rPr>
      </w:pPr>
      <w:r>
        <w:rPr>
          <w:rFonts w:hint="eastAsia"/>
          <w:color w:val="auto"/>
        </w:rPr>
        <w:t>宜实现劳务评价功能，对从业人员诚信和行为进行记录、评价、查询和统计等功能。</w:t>
      </w:r>
    </w:p>
    <w:p w14:paraId="6CA691C9">
      <w:pPr>
        <w:pStyle w:val="90"/>
        <w:ind w:firstLine="0" w:firstLineChars="0"/>
        <w:jc w:val="left"/>
        <w:rPr>
          <w:rFonts w:ascii="黑体" w:hAnsi="Times New Roman" w:eastAsia="黑体" w:cs="Times New Roman"/>
          <w:kern w:val="0"/>
          <w:szCs w:val="20"/>
        </w:rPr>
      </w:pPr>
      <w:r>
        <w:rPr>
          <w:rFonts w:hint="eastAsia" w:ascii="黑体" w:hAnsi="Times New Roman" w:eastAsia="黑体" w:cs="Times New Roman"/>
          <w:kern w:val="0"/>
          <w:szCs w:val="20"/>
        </w:rPr>
        <w:t>5.6.2 班组建设管理</w:t>
      </w:r>
    </w:p>
    <w:p w14:paraId="773CA8E9">
      <w:pPr>
        <w:pStyle w:val="90"/>
      </w:pPr>
      <w:r>
        <w:rPr>
          <w:rFonts w:hint="eastAsia"/>
        </w:rPr>
        <w:t>1  项目平台建立班组管理专用模块，建立班组管理制度，包含班组进退场计划、班组设置、班组管理小组、员工晋升和奖励机制、文化建设、差异激励、考评验收等；工程开工前将班组关键岗位信息录入</w:t>
      </w:r>
      <w:r>
        <w:rPr>
          <w:rFonts w:hint="eastAsia"/>
          <w:lang w:val="en-US" w:eastAsia="zh-CN"/>
        </w:rPr>
        <w:t>行业</w:t>
      </w:r>
      <w:r>
        <w:rPr>
          <w:rFonts w:hint="eastAsia"/>
        </w:rPr>
        <w:t>平台和其他相应平台；</w:t>
      </w:r>
    </w:p>
    <w:p w14:paraId="2794E22F">
      <w:pPr>
        <w:pStyle w:val="90"/>
      </w:pPr>
      <w:r>
        <w:rPr>
          <w:rFonts w:hint="eastAsia"/>
        </w:rPr>
        <w:t>2 施工总承包单位应依据工序、工种将劳务队伍合理划分班组，将现场工人全部纳入班组管理。班组人数根据需要具体确定，一般宜为10-30人。班组进场前应完成班组作业人员的创建，明确班组长、班组名称、班组工种，班组人员清单等；</w:t>
      </w:r>
    </w:p>
    <w:p w14:paraId="4DA1A4F0">
      <w:pPr>
        <w:pStyle w:val="35"/>
        <w:ind w:firstLine="420" w:firstLineChars="200"/>
      </w:pPr>
      <w:r>
        <w:rPr>
          <w:rFonts w:hint="eastAsia"/>
        </w:rPr>
        <w:t>3 应设置班组建设管理工作要求和示范班组标准，确定班组目标和职责，按要求评定是否达标验收，是否为示范班组，有过程评验记录和考核结果；</w:t>
      </w:r>
    </w:p>
    <w:p w14:paraId="3DE9CD39">
      <w:pPr>
        <w:pStyle w:val="35"/>
        <w:ind w:firstLine="420" w:firstLineChars="200"/>
      </w:pPr>
      <w:r>
        <w:rPr>
          <w:rFonts w:hint="eastAsia"/>
        </w:rPr>
        <w:t>4 建设单位应落实质量安全首要责任，采取有效措施支持推行施工班组建设管理工作，加强公管账户的创建和监管使用；</w:t>
      </w:r>
    </w:p>
    <w:p w14:paraId="63FB2371">
      <w:pPr>
        <w:pStyle w:val="35"/>
        <w:ind w:firstLine="420" w:firstLineChars="200"/>
      </w:pPr>
      <w:r>
        <w:rPr>
          <w:rFonts w:hint="eastAsia"/>
        </w:rPr>
        <w:t>5 应指导班组逐月制定班组管理目标和开展个人考核，严格开展自检、互检、交接检；引导班组全员积极开展安全风险辨识和隐患排查治理；</w:t>
      </w:r>
    </w:p>
    <w:p w14:paraId="37AEA5B3">
      <w:pPr>
        <w:pStyle w:val="35"/>
        <w:ind w:firstLine="420" w:firstLineChars="200"/>
      </w:pPr>
      <w:r>
        <w:rPr>
          <w:rFonts w:hint="eastAsia"/>
        </w:rPr>
        <w:t>6 应提供多维度、开放和透明的沟通方式，并立牌进行公示；</w:t>
      </w:r>
    </w:p>
    <w:p w14:paraId="093C9362">
      <w:pPr>
        <w:pStyle w:val="35"/>
        <w:ind w:firstLine="420" w:firstLineChars="200"/>
      </w:pPr>
      <w:r>
        <w:rPr>
          <w:rFonts w:hint="eastAsia"/>
        </w:rPr>
        <w:t>7 应与智能化考勤相关联，联动考勤数据，建立人员信息档案；</w:t>
      </w:r>
    </w:p>
    <w:p w14:paraId="1E99D49A">
      <w:pPr>
        <w:pStyle w:val="35"/>
        <w:ind w:firstLine="420" w:firstLineChars="200"/>
      </w:pPr>
      <w:r>
        <w:rPr>
          <w:rFonts w:hint="eastAsia"/>
        </w:rPr>
        <w:t>8 宜建立定期通报机制，通报问题成效，明确任务目标，落实奖惩措施。宜设置建立完善全员考核机制，设立专项奖励基金，作为工人工资之外的绩效奖励，合理设定额度并按考核结果分配；</w:t>
      </w:r>
    </w:p>
    <w:p w14:paraId="2241290F">
      <w:pPr>
        <w:pStyle w:val="35"/>
        <w:ind w:firstLine="420" w:firstLineChars="200"/>
      </w:pPr>
      <w:r>
        <w:rPr>
          <w:rFonts w:hint="eastAsia"/>
        </w:rPr>
        <w:t>9 宜设置“五小”等创新征集渠道，鼓励施工班组基于实际需要、结合工作环境和施工工艺工法，以提高工效和提升质量安全管理水平为目的开展“五小”创新（小发明、小创造、小革新、小设计、小建议）。</w:t>
      </w:r>
    </w:p>
    <w:p w14:paraId="483D9671">
      <w:pPr>
        <w:pStyle w:val="88"/>
        <w:spacing w:line="360" w:lineRule="auto"/>
      </w:pPr>
      <w:r>
        <w:t>5</w:t>
      </w:r>
      <w:r>
        <w:rPr>
          <w:rFonts w:hint="eastAsia"/>
        </w:rPr>
        <w:t>.6.3 实名制系统（含工人工资支付）</w:t>
      </w:r>
    </w:p>
    <w:p w14:paraId="2A2524CF">
      <w:pPr>
        <w:pStyle w:val="35"/>
        <w:ind w:firstLine="420" w:firstLineChars="200"/>
      </w:pPr>
      <w:r>
        <w:rPr>
          <w:rFonts w:hint="eastAsia"/>
        </w:rPr>
        <w:t>1 实名制系统运行环境应包括网络、服务器、显示设备、存储设备、从业人员实名制监管数据采集设备、移动终端设备等。</w:t>
      </w:r>
    </w:p>
    <w:p w14:paraId="77B09FB8">
      <w:pPr>
        <w:pStyle w:val="35"/>
        <w:ind w:firstLine="420" w:firstLineChars="200"/>
      </w:pPr>
      <w:r>
        <w:rPr>
          <w:rFonts w:hint="eastAsia"/>
        </w:rPr>
        <w:t>2 实名制系统应实现对人员身份证信息采集和人脸信息采集。</w:t>
      </w:r>
    </w:p>
    <w:p w14:paraId="499A6B0E">
      <w:pPr>
        <w:pStyle w:val="35"/>
        <w:ind w:firstLine="420" w:firstLineChars="200"/>
      </w:pPr>
      <w:r>
        <w:rPr>
          <w:rFonts w:hint="eastAsia"/>
        </w:rPr>
        <w:t>3 可通过在线方式或远程申请方式及时采集项目建设、施工、监理等单位人员信息，实现对人员基本信息进行管理、维护和查询。</w:t>
      </w:r>
    </w:p>
    <w:p w14:paraId="61945821">
      <w:pPr>
        <w:pStyle w:val="35"/>
        <w:ind w:firstLine="420" w:firstLineChars="200"/>
      </w:pPr>
      <w:r>
        <w:rPr>
          <w:rFonts w:hint="eastAsia"/>
        </w:rPr>
        <w:t>（1）人员信息包含：基本信息、合同信息、行为信息、教育培训信息、出勤信息、班组信息、职业健康信息等；</w:t>
      </w:r>
    </w:p>
    <w:p w14:paraId="68E5FBFE">
      <w:pPr>
        <w:pStyle w:val="35"/>
        <w:ind w:firstLine="420" w:firstLineChars="200"/>
      </w:pPr>
      <w:r>
        <w:rPr>
          <w:rFonts w:hint="eastAsia"/>
        </w:rPr>
        <w:t>（2）人员基本信息包括身份证信息、照片、工作岗位信息、执业（职业）资格信息、健康状况、文化程度、工作单位、联系方式等。</w:t>
      </w:r>
    </w:p>
    <w:p w14:paraId="29621211">
      <w:pPr>
        <w:pStyle w:val="35"/>
        <w:ind w:firstLine="420" w:firstLineChars="200"/>
      </w:pPr>
      <w:r>
        <w:rPr>
          <w:rFonts w:hint="eastAsia"/>
        </w:rPr>
        <w:t>4 应根据监管要求，按行业平台接口要求上传项目数据。</w:t>
      </w:r>
    </w:p>
    <w:p w14:paraId="359FFE41">
      <w:pPr>
        <w:pStyle w:val="35"/>
        <w:ind w:firstLine="420" w:firstLineChars="200"/>
      </w:pPr>
      <w:r>
        <w:rPr>
          <w:rFonts w:hint="eastAsia"/>
        </w:rPr>
        <w:t>5 应满足与业务相关部门、公司的数据对接、业务互联要求。</w:t>
      </w:r>
    </w:p>
    <w:p w14:paraId="3881BF52">
      <w:pPr>
        <w:pStyle w:val="35"/>
        <w:ind w:firstLine="420" w:firstLineChars="200"/>
      </w:pPr>
      <w:r>
        <w:rPr>
          <w:rFonts w:hint="eastAsia"/>
        </w:rPr>
        <w:t>6 工人工资模块应实现施工人员薪资的智能分析、欠薪提醒、处理及预警。</w:t>
      </w:r>
    </w:p>
    <w:p w14:paraId="7A62423A">
      <w:pPr>
        <w:pStyle w:val="35"/>
        <w:ind w:firstLine="420" w:firstLineChars="200"/>
      </w:pPr>
      <w:r>
        <w:rPr>
          <w:rFonts w:hint="eastAsia"/>
        </w:rPr>
        <w:t>7 实名制系统应实现现场施工人员按月、按人次的薪资发放记录和统计。</w:t>
      </w:r>
    </w:p>
    <w:p w14:paraId="18262F03">
      <w:pPr>
        <w:pStyle w:val="35"/>
        <w:ind w:firstLine="420" w:firstLineChars="200"/>
      </w:pPr>
      <w:r>
        <w:rPr>
          <w:rFonts w:hint="eastAsia"/>
        </w:rPr>
        <w:t>8</w:t>
      </w:r>
      <w:r>
        <w:t xml:space="preserve"> </w:t>
      </w:r>
      <w:r>
        <w:rPr>
          <w:rFonts w:hint="eastAsia"/>
        </w:rPr>
        <w:t>人员管理信息宜保存至工程竣工，可采用本地或云存储或两者相结合方式。</w:t>
      </w:r>
    </w:p>
    <w:p w14:paraId="6B6D0242">
      <w:pPr>
        <w:pStyle w:val="88"/>
      </w:pPr>
      <w:r>
        <w:t>5</w:t>
      </w:r>
      <w:r>
        <w:rPr>
          <w:rFonts w:hint="eastAsia"/>
        </w:rPr>
        <w:t>.6.4 智能化考勤</w:t>
      </w:r>
    </w:p>
    <w:p w14:paraId="12C8B7A6">
      <w:pPr>
        <w:pStyle w:val="35"/>
        <w:ind w:firstLine="420" w:firstLineChars="200"/>
      </w:pPr>
      <w:r>
        <w:rPr>
          <w:rFonts w:hint="eastAsia"/>
        </w:rPr>
        <w:t>1 对各类人员考勤以进场、退场或进出工作区识别为主要依据，系统应24h在线，人员异常进出应现场报警，超时未离开工作区应远程报警。总承包单位应采取必要措施，杜绝施工人员不经工地现场出入口进出工地。</w:t>
      </w:r>
    </w:p>
    <w:p w14:paraId="6D7C6244">
      <w:pPr>
        <w:pStyle w:val="35"/>
        <w:ind w:firstLine="420" w:firstLineChars="200"/>
      </w:pPr>
      <w:r>
        <w:rPr>
          <w:rFonts w:hint="eastAsia"/>
        </w:rPr>
        <w:t>2 宜应用人脸识别等技术对进场、退场人员快速识别。</w:t>
      </w:r>
    </w:p>
    <w:p w14:paraId="543FA87E">
      <w:pPr>
        <w:pStyle w:val="35"/>
        <w:ind w:firstLine="420" w:firstLineChars="200"/>
      </w:pPr>
      <w:r>
        <w:rPr>
          <w:rFonts w:hint="eastAsia"/>
        </w:rPr>
        <w:t>3 系统应提供将系统默认信息进行编辑修改功能。</w:t>
      </w:r>
    </w:p>
    <w:p w14:paraId="6F6A58B2">
      <w:pPr>
        <w:pStyle w:val="35"/>
        <w:ind w:firstLine="420" w:firstLineChars="200"/>
      </w:pPr>
      <w:r>
        <w:rPr>
          <w:rFonts w:hint="eastAsia"/>
        </w:rPr>
        <w:t>4 应实现管理人员请假管理、白名单同步、语音提示、夜间补光等，宜配备双目摄像头、活体检测。</w:t>
      </w:r>
    </w:p>
    <w:p w14:paraId="11773BCD">
      <w:pPr>
        <w:pStyle w:val="35"/>
        <w:ind w:firstLine="420" w:firstLineChars="200"/>
      </w:pPr>
      <w:r>
        <w:rPr>
          <w:rFonts w:hint="eastAsia"/>
        </w:rPr>
        <w:t>5 人员进出场信息包括姓名、身份证号、工种、所属单位、所属项目、时间、进场或离场。宜在进出口屏幕上显示在场人员信息。</w:t>
      </w:r>
    </w:p>
    <w:p w14:paraId="223658CC">
      <w:pPr>
        <w:pStyle w:val="35"/>
        <w:ind w:firstLine="420" w:firstLineChars="200"/>
      </w:pPr>
      <w:r>
        <w:rPr>
          <w:rFonts w:hint="eastAsia"/>
        </w:rPr>
        <w:t>6 人员进场时出现下列情况之一时，应提示：</w:t>
      </w:r>
    </w:p>
    <w:p w14:paraId="00461E99">
      <w:pPr>
        <w:pStyle w:val="35"/>
        <w:ind w:firstLine="420" w:firstLineChars="200"/>
      </w:pPr>
      <w:r>
        <w:rPr>
          <w:rFonts w:hint="eastAsia"/>
        </w:rPr>
        <w:t>（1）超龄、未成年；</w:t>
      </w:r>
    </w:p>
    <w:p w14:paraId="0482A093">
      <w:pPr>
        <w:pStyle w:val="35"/>
        <w:ind w:firstLine="420" w:firstLineChars="200"/>
      </w:pPr>
      <w:r>
        <w:rPr>
          <w:rFonts w:hint="eastAsia"/>
        </w:rPr>
        <w:t>（2）身份证过期；</w:t>
      </w:r>
    </w:p>
    <w:p w14:paraId="22DC13D3">
      <w:pPr>
        <w:pStyle w:val="35"/>
        <w:ind w:firstLine="420" w:firstLineChars="200"/>
      </w:pPr>
      <w:r>
        <w:rPr>
          <w:rFonts w:hint="eastAsia"/>
        </w:rPr>
        <w:t>（3）资格证书到期；</w:t>
      </w:r>
    </w:p>
    <w:p w14:paraId="2FC57D1B">
      <w:pPr>
        <w:pStyle w:val="35"/>
        <w:ind w:firstLine="420" w:firstLineChars="200"/>
      </w:pPr>
      <w:r>
        <w:rPr>
          <w:rFonts w:hint="eastAsia"/>
        </w:rPr>
        <w:t>（4）未接受安全教育；</w:t>
      </w:r>
    </w:p>
    <w:p w14:paraId="31DB42E6">
      <w:pPr>
        <w:pStyle w:val="35"/>
        <w:ind w:firstLine="420" w:firstLineChars="200"/>
      </w:pPr>
      <w:r>
        <w:rPr>
          <w:rFonts w:hint="eastAsia"/>
        </w:rPr>
        <w:t>（5）不良记录；</w:t>
      </w:r>
    </w:p>
    <w:p w14:paraId="26BF5D54">
      <w:pPr>
        <w:pStyle w:val="35"/>
        <w:ind w:firstLine="420" w:firstLineChars="200"/>
      </w:pPr>
      <w:r>
        <w:rPr>
          <w:rFonts w:hint="eastAsia"/>
        </w:rPr>
        <w:t>（6）黑名单。</w:t>
      </w:r>
    </w:p>
    <w:p w14:paraId="3AE40C27">
      <w:pPr>
        <w:pStyle w:val="35"/>
        <w:ind w:firstLine="420" w:firstLineChars="200"/>
      </w:pPr>
      <w:r>
        <w:rPr>
          <w:rFonts w:hint="eastAsia"/>
        </w:rPr>
        <w:t>7 应对即时在场人员进行统计，并按管理人员、特种作业人员、工种等多角度表现。</w:t>
      </w:r>
    </w:p>
    <w:p w14:paraId="31592AEC">
      <w:pPr>
        <w:pStyle w:val="35"/>
        <w:ind w:firstLine="420" w:firstLineChars="200"/>
      </w:pPr>
      <w:r>
        <w:rPr>
          <w:rFonts w:hint="eastAsia"/>
        </w:rPr>
        <w:t>8 应每日不少于2次（上午、下午各1次），向项目、企业、行业平台上传在场人员信息，包括在场人员记录编号、时间（年月日时分）、在场人数。</w:t>
      </w:r>
    </w:p>
    <w:p w14:paraId="211B5704">
      <w:pPr>
        <w:pStyle w:val="35"/>
        <w:ind w:firstLine="420" w:firstLineChars="200"/>
      </w:pPr>
      <w:r>
        <w:rPr>
          <w:rFonts w:hint="eastAsia"/>
        </w:rPr>
        <w:t>9 智能考勤数据宜保存至工程竣工，信息应上传至项目、企业、行业平台。</w:t>
      </w:r>
    </w:p>
    <w:p w14:paraId="64C624DF">
      <w:pPr>
        <w:pStyle w:val="88"/>
      </w:pPr>
      <w:r>
        <w:t>5</w:t>
      </w:r>
      <w:r>
        <w:rPr>
          <w:rFonts w:hint="eastAsia"/>
        </w:rPr>
        <w:t>.6.5 智能安全帽</w:t>
      </w:r>
    </w:p>
    <w:p w14:paraId="1372D7D8">
      <w:pPr>
        <w:pStyle w:val="35"/>
        <w:ind w:firstLine="420" w:firstLineChars="200"/>
      </w:pPr>
      <w:r>
        <w:rPr>
          <w:rFonts w:hint="eastAsia"/>
        </w:rPr>
        <w:t>1 施工现场安全管理人员应佩戴智能安全帽，实现智能巡检、场景录制、自动定位、远程报警等。</w:t>
      </w:r>
    </w:p>
    <w:p w14:paraId="711451AC">
      <w:pPr>
        <w:pStyle w:val="35"/>
        <w:ind w:firstLine="420" w:firstLineChars="200"/>
      </w:pPr>
      <w:r>
        <w:rPr>
          <w:rFonts w:hint="eastAsia"/>
        </w:rPr>
        <w:t>2 施工现场作业班组长、特种作业人员等其他人员宜佩戴智能安全帽；推荐塔机安装、拆卸作业人员佩戴智能安全帽记录操作情况。</w:t>
      </w:r>
    </w:p>
    <w:p w14:paraId="7743217C">
      <w:pPr>
        <w:pStyle w:val="35"/>
        <w:ind w:firstLine="420" w:firstLineChars="200"/>
      </w:pPr>
      <w:r>
        <w:rPr>
          <w:rFonts w:hint="eastAsia"/>
        </w:rPr>
        <w:t>3 智能安全帽应有一定的防水、抗摔防尘能力，且不影响安全帽的正常防护功能。智能安全帽应能稳定收发数据，至少每5分钟向项目平台发送人员定位信息。智能安全帽远程画面实时查看延迟不超过1s，定位精度不大于2m。</w:t>
      </w:r>
    </w:p>
    <w:p w14:paraId="0603DFB7">
      <w:pPr>
        <w:pStyle w:val="35"/>
        <w:ind w:firstLine="420" w:firstLineChars="200"/>
      </w:pPr>
      <w:r>
        <w:rPr>
          <w:rFonts w:hint="eastAsia"/>
        </w:rPr>
        <w:t>4 异常行为应声光报警，并即时将报警信息上传项目、企业、行业平台。管理人员落实并处理相应信息后，及时上传企业、行业平台，实现闭环管理。</w:t>
      </w:r>
    </w:p>
    <w:p w14:paraId="0DC356E0">
      <w:pPr>
        <w:pStyle w:val="35"/>
        <w:ind w:firstLine="420" w:firstLineChars="200"/>
      </w:pPr>
      <w:r>
        <w:rPr>
          <w:rFonts w:hint="eastAsia"/>
        </w:rPr>
        <w:t>5 宜使用智能安全帽实时统计出勤人数、作业现场人数与人员分布情况，并与人员进场信息比对，辅助管理。</w:t>
      </w:r>
    </w:p>
    <w:p w14:paraId="6F23BE58">
      <w:pPr>
        <w:pStyle w:val="35"/>
        <w:ind w:firstLine="420" w:firstLineChars="200"/>
      </w:pPr>
      <w:r>
        <w:rPr>
          <w:rFonts w:hint="eastAsia"/>
        </w:rPr>
        <w:t>6 人员场内位置及跟踪数据应具备本地和云储存功能。</w:t>
      </w:r>
    </w:p>
    <w:p w14:paraId="17C3AC21">
      <w:pPr>
        <w:pStyle w:val="88"/>
      </w:pPr>
      <w:r>
        <w:t>5</w:t>
      </w:r>
      <w:r>
        <w:rPr>
          <w:rFonts w:hint="eastAsia"/>
        </w:rPr>
        <w:t>.</w:t>
      </w:r>
      <w:r>
        <w:t>6</w:t>
      </w:r>
      <w:r>
        <w:rPr>
          <w:rFonts w:hint="eastAsia"/>
        </w:rPr>
        <w:t>.6 岗前体检</w:t>
      </w:r>
    </w:p>
    <w:p w14:paraId="1E2E6C2E">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应在工地现场出入口安装岗前体检系统。</w:t>
      </w:r>
    </w:p>
    <w:p w14:paraId="098E57A2">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宜结合人员进出场管理对进场人员进行监测，检测体温、酒精、血压、血氧等指标，或使用岗前体检设备进行相应指标检测。</w:t>
      </w:r>
    </w:p>
    <w:p w14:paraId="45FD67D2">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当检测指标超限时应声光报警，并上传项目、企业平台。</w:t>
      </w:r>
    </w:p>
    <w:p w14:paraId="6C0C05AD">
      <w:pPr>
        <w:tabs>
          <w:tab w:val="left" w:pos="6"/>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现场管理人员应对报警信息结合人员工种、拟从事具体工作进行复核，监督不适合进场工作的人员离场，对适合进场工作的人员情况在项目平台上予以记录，并及时上传企业平台。</w:t>
      </w:r>
    </w:p>
    <w:p w14:paraId="20D945F6">
      <w:pPr>
        <w:pStyle w:val="40"/>
        <w:ind w:firstLine="0" w:firstLineChars="0"/>
        <w:jc w:val="center"/>
        <w:outlineLvl w:val="1"/>
        <w:rPr>
          <w:rFonts w:hint="eastAsia" w:ascii="仿宋_GB2312" w:hAnsi="仿宋_GB2312" w:eastAsia="黑体" w:cs="仿宋_GB2312"/>
          <w:b/>
          <w:bCs/>
          <w:color w:val="000000" w:themeColor="text1"/>
          <w:sz w:val="28"/>
          <w:szCs w:val="28"/>
          <w:lang w:val="en-US" w:eastAsia="zh-CN"/>
          <w14:textFill>
            <w14:solidFill>
              <w14:schemeClr w14:val="tx1"/>
            </w14:solidFill>
          </w14:textFill>
        </w:rPr>
      </w:pPr>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7</w:t>
      </w:r>
      <w:r>
        <w:rPr>
          <w:rFonts w:ascii="黑体" w:hAnsi="黑体" w:eastAsia="黑体" w:cs="黑体"/>
          <w:color w:val="000000" w:themeColor="text1"/>
          <w:szCs w:val="21"/>
          <w14:textFill>
            <w14:solidFill>
              <w14:schemeClr w14:val="tx1"/>
            </w14:solidFill>
          </w14:textFill>
        </w:rPr>
        <w:t xml:space="preserve"> </w:t>
      </w:r>
      <w:bookmarkStart w:id="108" w:name="_Hlk150540262"/>
      <w:r>
        <w:rPr>
          <w:rFonts w:ascii="黑体" w:hAnsi="黑体" w:eastAsia="黑体" w:cs="黑体"/>
          <w:color w:val="000000" w:themeColor="text1"/>
          <w:szCs w:val="21"/>
          <w14:textFill>
            <w14:solidFill>
              <w14:schemeClr w14:val="tx1"/>
            </w14:solidFill>
          </w14:textFill>
        </w:rPr>
        <w:t>BIM</w:t>
      </w:r>
      <w:r>
        <w:rPr>
          <w:rFonts w:hint="eastAsia" w:ascii="黑体" w:hAnsi="黑体" w:eastAsia="黑体" w:cs="黑体"/>
          <w:color w:val="000000" w:themeColor="text1"/>
          <w:szCs w:val="21"/>
          <w14:textFill>
            <w14:solidFill>
              <w14:schemeClr w14:val="tx1"/>
            </w14:solidFill>
          </w14:textFill>
        </w:rPr>
        <w:t>应用管理</w:t>
      </w:r>
      <w:bookmarkEnd w:id="107"/>
      <w:bookmarkEnd w:id="108"/>
      <w:r>
        <w:rPr>
          <w:rFonts w:hint="eastAsia" w:ascii="黑体" w:hAnsi="黑体" w:eastAsia="黑体" w:cs="黑体"/>
          <w:color w:val="000000" w:themeColor="text1"/>
          <w:szCs w:val="21"/>
          <w:lang w:val="en-US" w:eastAsia="zh-CN"/>
          <w14:textFill>
            <w14:solidFill>
              <w14:schemeClr w14:val="tx1"/>
            </w14:solidFill>
          </w14:textFill>
        </w:rPr>
        <w:t>类</w:t>
      </w:r>
    </w:p>
    <w:p w14:paraId="4A5DAE0E">
      <w:pPr>
        <w:pStyle w:val="88"/>
      </w:pPr>
      <w:r>
        <w:t>5</w:t>
      </w:r>
      <w:r>
        <w:rPr>
          <w:rFonts w:hint="eastAsia"/>
        </w:rPr>
        <w:t>.7.1 BIM工程管控电子沙盘</w:t>
      </w:r>
    </w:p>
    <w:p w14:paraId="06EB381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w:t>
      </w:r>
      <w:r>
        <w:rPr>
          <w:rFonts w:hint="eastAsia" w:cs="宋体"/>
          <w:color w:val="000000" w:themeColor="text1"/>
          <w:szCs w:val="21"/>
          <w14:textFill>
            <w14:solidFill>
              <w14:schemeClr w14:val="tx1"/>
            </w14:solidFill>
          </w14:textFill>
        </w:rPr>
        <w:t xml:space="preserve"> </w:t>
      </w:r>
      <w:r>
        <w:rPr>
          <w:rFonts w:hint="eastAsia" w:hAnsi="宋体" w:cs="宋体"/>
          <w:color w:val="000000" w:themeColor="text1"/>
          <w:kern w:val="2"/>
          <w:szCs w:val="21"/>
          <w14:textFill>
            <w14:solidFill>
              <w14:schemeClr w14:val="tx1"/>
            </w14:solidFill>
          </w14:textFill>
        </w:rPr>
        <w:t>施工现场宜设置BIM工程管控电子沙盘，实现查看BIM三维模型、质量安全信息、施工进展情况等功能。建筑施工开始时，应依据工程图纸、设计变更、施工进度计划等文件实现建筑三维模拟并根据工程实际进度进行动态调整。</w:t>
      </w:r>
    </w:p>
    <w:p w14:paraId="08D283A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w:t>
      </w:r>
      <w:r>
        <w:rPr>
          <w:rFonts w:hint="eastAsia" w:cs="宋体"/>
          <w:color w:val="000000" w:themeColor="text1"/>
          <w:szCs w:val="21"/>
          <w14:textFill>
            <w14:solidFill>
              <w14:schemeClr w14:val="tx1"/>
            </w14:solidFill>
          </w14:textFill>
        </w:rPr>
        <w:t xml:space="preserve"> </w:t>
      </w:r>
      <w:r>
        <w:rPr>
          <w:rFonts w:hint="eastAsia" w:hAnsi="宋体" w:cs="宋体"/>
          <w:color w:val="000000" w:themeColor="text1"/>
          <w:kern w:val="2"/>
          <w:szCs w:val="21"/>
          <w14:textFill>
            <w14:solidFill>
              <w14:schemeClr w14:val="tx1"/>
            </w14:solidFill>
          </w14:textFill>
        </w:rPr>
        <w:t>BIM工程管控电子沙盘宜支持倾斜摄影或平面地图导入生成数字底板展示项目周边环境、地理信息。支持多种格式模型导入，模型应保证构件基本信息的完整性。</w:t>
      </w:r>
    </w:p>
    <w:p w14:paraId="0F1135E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w:t>
      </w:r>
      <w:r>
        <w:rPr>
          <w:rFonts w:hint="eastAsia" w:cs="宋体"/>
          <w:color w:val="000000" w:themeColor="text1"/>
          <w:szCs w:val="21"/>
          <w14:textFill>
            <w14:solidFill>
              <w14:schemeClr w14:val="tx1"/>
            </w14:solidFill>
          </w14:textFill>
        </w:rPr>
        <w:t xml:space="preserve"> </w:t>
      </w:r>
      <w:r>
        <w:rPr>
          <w:rFonts w:hint="eastAsia" w:hAnsi="宋体" w:cs="宋体"/>
          <w:color w:val="000000" w:themeColor="text1"/>
          <w:kern w:val="2"/>
          <w:szCs w:val="21"/>
          <w14:textFill>
            <w14:solidFill>
              <w14:schemeClr w14:val="tx1"/>
            </w14:solidFill>
          </w14:textFill>
        </w:rPr>
        <w:t>BIM工程管控电子沙盘可在模型上加载、展示安全风险等级及对应区域工程管控信息。</w:t>
      </w:r>
    </w:p>
    <w:p w14:paraId="224C793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BIM工程管控电子沙盘宜支持制作并导出视频文件和图片。</w:t>
      </w:r>
    </w:p>
    <w:p w14:paraId="6AD203B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BIM工程管控电子沙盘应具备查看、下载、导出、分发、权限控制功能，宜上传项目、企业、行业平台。</w:t>
      </w:r>
    </w:p>
    <w:p w14:paraId="15E5AF85">
      <w:pPr>
        <w:pStyle w:val="88"/>
      </w:pPr>
      <w:r>
        <w:t>5</w:t>
      </w:r>
      <w:r>
        <w:rPr>
          <w:rFonts w:hint="eastAsia"/>
        </w:rPr>
        <w:t>.7.2 施工模型</w:t>
      </w:r>
    </w:p>
    <w:p w14:paraId="278B369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施工模型应根据BIM技术应用相关专业或任务需要创建，其模型元素和模型细度应满足深化设计、现场施工和竣工交付的任务要求。</w:t>
      </w:r>
    </w:p>
    <w:p w14:paraId="22BA1E5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施工模型应包括深化设计模型、施工过程模型和竣工交付模型。施工模型应根据现场情况变化不断调整，进而形成竣工交付模型。</w:t>
      </w:r>
    </w:p>
    <w:p w14:paraId="5929CCA3">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施工模型宜采用集成模型方式创建，也可按照专业或任务采用分散模型方式创建。当采用分散模型方式时，各模型应协调一致，并能够集成应用。</w:t>
      </w:r>
    </w:p>
    <w:p w14:paraId="339C606F">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模型创建宜采用统一的世界坐标系、原点和度量单位，也可采用独立的用户坐标系，通过转换坐标机制实现模型集成。</w:t>
      </w:r>
    </w:p>
    <w:p w14:paraId="112C464A">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5</w:t>
      </w:r>
      <w:r>
        <w:rPr>
          <w:rFonts w:hint="eastAsia" w:hAnsi="宋体" w:cs="宋体"/>
          <w:color w:val="000000" w:themeColor="text1"/>
          <w:kern w:val="2"/>
          <w:szCs w:val="21"/>
          <w14:textFill>
            <w14:solidFill>
              <w14:schemeClr w14:val="tx1"/>
            </w14:solidFill>
          </w14:textFill>
        </w:rPr>
        <w:t xml:space="preserve"> 施工模型应建立场地布置模型，并根据工程进展实时更新，展示不同施工阶段现场的平面布置、安全设施、周边环境等情况。</w:t>
      </w:r>
    </w:p>
    <w:p w14:paraId="6A912EB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6 施工模型在模型转换和传递过程中，应保证完整性，不发生信息丢失或失真。</w:t>
      </w:r>
    </w:p>
    <w:p w14:paraId="5EB923C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7 模型元素信息宜包括尺寸、定位等几何信息，名称、规格型号、材料和材质、生产厂商、功能与性能技术参数、系统类型、连接方式、安装部位、施工方式等非几何信息。</w:t>
      </w:r>
    </w:p>
    <w:p w14:paraId="7F9E5D36">
      <w:pPr>
        <w:pStyle w:val="88"/>
      </w:pPr>
      <w:r>
        <w:t>5</w:t>
      </w:r>
      <w:r>
        <w:rPr>
          <w:rFonts w:hint="eastAsia"/>
        </w:rPr>
        <w:t>.7.3 深化设计</w:t>
      </w:r>
    </w:p>
    <w:p w14:paraId="796ACB3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宜采用BIM技术对施工复杂和专业性强的专项工程进行深化设计。</w:t>
      </w:r>
    </w:p>
    <w:p w14:paraId="1103CF4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应制定深化设计流程，确定深化范围、精度、校核方式、校核时间、修改时间、交付时间等。</w:t>
      </w:r>
    </w:p>
    <w:p w14:paraId="5A33DB3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深化设计软件宜实现模型查看、图纸的导入导出、参数分析与计算、工程量统计和报表生成等。</w:t>
      </w:r>
    </w:p>
    <w:p w14:paraId="126CBF1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深化设计成果资料宜包括完整的深化模型、计算分析文件、报表、深化设计图、视频文件、效果图、签字盖章文件等，其中，深化设计图应包括二维图纸和三维视图。</w:t>
      </w:r>
    </w:p>
    <w:p w14:paraId="70EAC7F7">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深化设计成果资料应上传项目、企业、行业平台。</w:t>
      </w:r>
    </w:p>
    <w:p w14:paraId="7A0631EF">
      <w:pPr>
        <w:pStyle w:val="88"/>
      </w:pPr>
      <w:r>
        <w:t>5</w:t>
      </w:r>
      <w:r>
        <w:rPr>
          <w:rFonts w:hint="eastAsia"/>
        </w:rPr>
        <w:t>.7.4 BIM可视化交底</w:t>
      </w:r>
    </w:p>
    <w:p w14:paraId="5AB68A8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工程或分部工程开工前，宜采用二维码、虚拟现实等技术，利用三维模型、BIM漫游或虚拟现实技术，结合模型对全员进行质量、安全交底。</w:t>
      </w:r>
    </w:p>
    <w:p w14:paraId="27EDE5E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重要工序交底应编制施工动画，一般工序交底应制作三维模板，可以通过移动端查看。</w:t>
      </w:r>
    </w:p>
    <w:p w14:paraId="6C9A1FA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 xml:space="preserve">3 </w:t>
      </w:r>
      <w:r>
        <w:rPr>
          <w:rFonts w:hAnsi="宋体" w:cs="宋体"/>
          <w:color w:val="000000" w:themeColor="text1"/>
          <w:kern w:val="2"/>
          <w:szCs w:val="21"/>
          <w14:textFill>
            <w14:solidFill>
              <w14:schemeClr w14:val="tx1"/>
            </w14:solidFill>
          </w14:textFill>
        </w:rPr>
        <w:t>BIM</w:t>
      </w:r>
      <w:r>
        <w:rPr>
          <w:rFonts w:hint="eastAsia" w:hAnsi="宋体" w:cs="宋体"/>
          <w:color w:val="000000" w:themeColor="text1"/>
          <w:kern w:val="2"/>
          <w:szCs w:val="21"/>
          <w14:textFill>
            <w14:solidFill>
              <w14:schemeClr w14:val="tx1"/>
            </w14:solidFill>
          </w14:textFill>
        </w:rPr>
        <w:t>可视化交底宜形成交底记录信息，并与人员教育培训功能相关联。</w:t>
      </w:r>
    </w:p>
    <w:p w14:paraId="6FBDBEE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可视化交底信息应上传项目平台、企业平台。</w:t>
      </w:r>
    </w:p>
    <w:p w14:paraId="5D51B7C0">
      <w:pPr>
        <w:pStyle w:val="88"/>
      </w:pPr>
      <w:r>
        <w:t>5</w:t>
      </w:r>
      <w:r>
        <w:rPr>
          <w:rFonts w:hint="eastAsia"/>
        </w:rPr>
        <w:t xml:space="preserve">.7.5 BIM进度模拟  </w:t>
      </w:r>
    </w:p>
    <w:p w14:paraId="2303292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宜采用BIM技术对现场进度计划进行模拟，形成BIM进度计划模拟视频。</w:t>
      </w:r>
    </w:p>
    <w:p w14:paraId="4B4D8B7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利用BIM模型和施工计划数据，对施工进度进行直观模拟和可视化展示，实现建筑施工过程的全面规划和管理。在模拟过程中提前识别潜在的问题，并及时采取措施进行规避或应对，不断优化施工建造过程，降低项目管理风险。</w:t>
      </w:r>
    </w:p>
    <w:p w14:paraId="78EB2738">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BIM进度计划模拟成果资料宜包括现场进度计划的模拟视频、进度计划文件、BIM进度优化会议记录等。</w:t>
      </w:r>
    </w:p>
    <w:p w14:paraId="704C7FE2">
      <w:pPr>
        <w:pStyle w:val="88"/>
      </w:pPr>
      <w:r>
        <w:t>5</w:t>
      </w:r>
      <w:r>
        <w:rPr>
          <w:rFonts w:hint="eastAsia"/>
        </w:rPr>
        <w:t>.7.6 BIM施工工艺模拟</w:t>
      </w:r>
    </w:p>
    <w:p w14:paraId="41D2FAB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施工现场宜使用BIM技术对复杂工艺进行模拟，形成BIM工序模拟动画，并对施工现场进行可视化交底。</w:t>
      </w:r>
    </w:p>
    <w:p w14:paraId="55E8EA7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施工工艺模拟前应完成相关施工方案的编制，确认工艺流程和相关技术要求。</w:t>
      </w:r>
    </w:p>
    <w:p w14:paraId="6377A29B">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工艺模拟动画，应能准确、完整地展现问题分析、工艺参数、工序演示及模拟结论等内容，并达到指导现场作业的要求。</w:t>
      </w:r>
    </w:p>
    <w:p w14:paraId="7FA60A2B">
      <w:pPr>
        <w:pStyle w:val="38"/>
        <w:spacing w:line="360" w:lineRule="auto"/>
        <w:ind w:firstLine="420"/>
        <w:rPr>
          <w:rFonts w:hAnsi="宋体" w:cs="宋体"/>
          <w:color w:val="000000" w:themeColor="text1"/>
          <w:kern w:val="2"/>
          <w:szCs w:val="21"/>
          <w14:textFill>
            <w14:solidFill>
              <w14:schemeClr w14:val="tx1"/>
            </w14:solidFill>
          </w14:textFill>
        </w:rPr>
      </w:pPr>
      <w:r>
        <w:rPr>
          <w:rFonts w:hAnsi="宋体" w:cs="宋体"/>
          <w:color w:val="000000" w:themeColor="text1"/>
          <w:kern w:val="2"/>
          <w:szCs w:val="21"/>
          <w14:textFill>
            <w14:solidFill>
              <w14:schemeClr w14:val="tx1"/>
            </w14:solidFill>
          </w14:textFill>
        </w:rPr>
        <w:t>4</w:t>
      </w:r>
      <w:r>
        <w:rPr>
          <w:rFonts w:hint="eastAsia" w:hAnsi="宋体" w:cs="宋体"/>
          <w:color w:val="000000" w:themeColor="text1"/>
          <w:kern w:val="2"/>
          <w:szCs w:val="21"/>
          <w14:textFill>
            <w14:solidFill>
              <w14:schemeClr w14:val="tx1"/>
            </w14:solidFill>
          </w14:textFill>
        </w:rPr>
        <w:t xml:space="preserve"> 施工工艺模拟成果资料应上传项目、企业、行业平台。</w:t>
      </w:r>
    </w:p>
    <w:p w14:paraId="1FE1091C">
      <w:pPr>
        <w:pStyle w:val="88"/>
      </w:pPr>
      <w:r>
        <w:t>5</w:t>
      </w:r>
      <w:r>
        <w:rPr>
          <w:rFonts w:hint="eastAsia"/>
        </w:rPr>
        <w:t>.7.7 BIM智慧化图纸管理</w:t>
      </w:r>
    </w:p>
    <w:p w14:paraId="172749D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施工现场宜将施工图纸与BIM模型进行关联，通过BIM模型快速查看相应图纸内容。</w:t>
      </w:r>
    </w:p>
    <w:p w14:paraId="5947BE2D">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应实现对施工图纸进行上传、存储、分发、权限分配、版本管理、图纸变更管理等功能。</w:t>
      </w:r>
    </w:p>
    <w:p w14:paraId="3057A9BA">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宜支持二维图纸与三维模型联动协作，实现二维、三维图纸结合应用。</w:t>
      </w:r>
    </w:p>
    <w:p w14:paraId="2E171532">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宜支持设计变更与施工图纸关联，实现双向互联查看；根据施工进度进行变更实施预警提示。</w:t>
      </w:r>
    </w:p>
    <w:p w14:paraId="4694E3B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5 应支持移动端图纸、模型等文件离线缓存，满足离线状态使用要求。</w:t>
      </w:r>
    </w:p>
    <w:p w14:paraId="58F111C3">
      <w:pPr>
        <w:pStyle w:val="88"/>
      </w:pPr>
      <w:r>
        <w:t>5</w:t>
      </w:r>
      <w:r>
        <w:rPr>
          <w:rFonts w:hint="eastAsia"/>
        </w:rPr>
        <w:t>.7.8 BIM协同应用</w:t>
      </w:r>
    </w:p>
    <w:p w14:paraId="334352B6">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应实现多专业模型的集成与整合，支持各方获取、更新、管理信息。宜关联施工过程中的质量、安全、进度等数据，实现数据与模型的交互。</w:t>
      </w:r>
    </w:p>
    <w:p w14:paraId="38C8E70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共享模型元素应能被唯一识别，可在各专业和各相关方之间交换和应用。</w:t>
      </w:r>
    </w:p>
    <w:p w14:paraId="0E5412B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应支持主流BIM软件的模型格式和国际通用标准格式的导入导出。</w:t>
      </w:r>
    </w:p>
    <w:p w14:paraId="4A5EFD80">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应支持模型多端口、多平台的集成操作，实现模型的集成与整合、浏览、漫游、标注、剖切、发布问题、关联文件、渲染等功能。</w:t>
      </w:r>
    </w:p>
    <w:p w14:paraId="392FFD7A">
      <w:pPr>
        <w:pStyle w:val="88"/>
      </w:pPr>
      <w:r>
        <w:t>5</w:t>
      </w:r>
      <w:r>
        <w:rPr>
          <w:rFonts w:hint="eastAsia"/>
        </w:rPr>
        <w:t>.7.</w:t>
      </w:r>
      <w:r>
        <w:t>9</w:t>
      </w:r>
      <w:r>
        <w:rPr>
          <w:rFonts w:hint="eastAsia"/>
        </w:rPr>
        <w:t xml:space="preserve"> BIM逆向建模</w:t>
      </w:r>
    </w:p>
    <w:p w14:paraId="011C135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1 施工现场宜通过无人机或机器人进行超高清实拍，对施工场区进行影像记录、全景扫描、逆向建模，形成施工场区的实景模型。</w:t>
      </w:r>
    </w:p>
    <w:p w14:paraId="2D1E4779">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2 宜采用BIM逆向建模技术实现工程量测算、现场实体结构精度复核、既有建（构）筑物的模型信息提取等应用场景。</w:t>
      </w:r>
    </w:p>
    <w:p w14:paraId="7DA8AB25">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3 BIM逆向建模成果资料宜包括模型、分析报告、报表等。</w:t>
      </w:r>
    </w:p>
    <w:p w14:paraId="4ABAAD01">
      <w:pPr>
        <w:pStyle w:val="38"/>
        <w:spacing w:line="360" w:lineRule="auto"/>
        <w:ind w:firstLine="420"/>
        <w:rPr>
          <w:rFonts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4 BIM逆向建模成果资料应上传项目、企业、行业平台。</w:t>
      </w:r>
    </w:p>
    <w:p w14:paraId="768BD9A6">
      <w:pPr>
        <w:pStyle w:val="40"/>
        <w:ind w:firstLine="0" w:firstLineChars="0"/>
        <w:jc w:val="center"/>
        <w:outlineLvl w:val="1"/>
        <w:rPr>
          <w:rFonts w:hint="eastAsia" w:hAnsi="黑体" w:eastAsia="黑体" w:cs="黑体"/>
          <w:sz w:val="36"/>
          <w:szCs w:val="36"/>
          <w:lang w:val="en-US" w:eastAsia="zh-CN"/>
        </w:rPr>
      </w:pPr>
      <w:bookmarkStart w:id="109" w:name="_Toc16760"/>
      <w:bookmarkStart w:id="110" w:name="_Toc30042"/>
      <w:bookmarkStart w:id="111" w:name="_Toc153316379"/>
      <w:bookmarkStart w:id="112" w:name="_Toc2402"/>
      <w:bookmarkStart w:id="113" w:name="_Toc31297"/>
      <w:r>
        <w:rPr>
          <w:rFonts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8</w:t>
      </w:r>
      <w:r>
        <w:rPr>
          <w:rFonts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智能建造应用</w:t>
      </w:r>
      <w:bookmarkEnd w:id="109"/>
      <w:r>
        <w:rPr>
          <w:rFonts w:hint="eastAsia" w:ascii="黑体" w:hAnsi="黑体" w:eastAsia="黑体" w:cs="黑体"/>
          <w:color w:val="000000" w:themeColor="text1"/>
          <w:szCs w:val="21"/>
          <w:lang w:val="en-US" w:eastAsia="zh-CN"/>
          <w14:textFill>
            <w14:solidFill>
              <w14:schemeClr w14:val="tx1"/>
            </w14:solidFill>
          </w14:textFill>
        </w:rPr>
        <w:t>类</w:t>
      </w:r>
    </w:p>
    <w:p w14:paraId="6E29B0C9">
      <w:pPr>
        <w:pStyle w:val="88"/>
      </w:pPr>
      <w:r>
        <w:t>5</w:t>
      </w:r>
      <w:r>
        <w:rPr>
          <w:rFonts w:hint="eastAsia"/>
        </w:rPr>
        <w:t>.8.1 装配式应用</w:t>
      </w:r>
    </w:p>
    <w:p w14:paraId="506FF60C">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装配式建筑宜采用智能化手段对构部件进行管理应用。</w:t>
      </w:r>
    </w:p>
    <w:p w14:paraId="723EFAE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cs="宋体"/>
          <w:szCs w:val="21"/>
        </w:rPr>
        <w:t>构部件编码应采用《建筑信息模型分类和编码标准》(GB/T51269)、《装配式建筑部品部件分类和编码标准》(T/CCES 14)的分类编码体系，基于条形码、二维码、RFID等标识技术，对部品部件进行编码，编码信息可流通、可共享、可附加。</w:t>
      </w:r>
    </w:p>
    <w:p w14:paraId="752C7A3C">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构部件编码信息内容应包括构件基本信息、构件生产信息、隐蔽验收记录、出厂检验信息、现场安装信息、现场验收信息等。</w:t>
      </w:r>
    </w:p>
    <w:p w14:paraId="465A35A0">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ascii="宋体" w:hAnsi="宋体" w:cs="宋体"/>
          <w:szCs w:val="21"/>
        </w:rPr>
        <w:t>宜同步更新BIM信息与RFID等标签信息，对部品部件形成唯一信息的识别标签，对部品部件的全生命周期进行可追溯管理。</w:t>
      </w:r>
    </w:p>
    <w:p w14:paraId="0DC80F46">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 xml:space="preserve"> </w:t>
      </w:r>
      <w:r>
        <w:rPr>
          <w:rFonts w:hint="eastAsia" w:ascii="宋体" w:hAnsi="宋体" w:cs="宋体"/>
          <w:szCs w:val="21"/>
        </w:rPr>
        <w:t>主要结构构件安装、结构受力构件套筒灌浆过程等视频应上传至项目、企业平台，宜上传行业平台。</w:t>
      </w:r>
    </w:p>
    <w:p w14:paraId="4EFEA33B">
      <w:pPr>
        <w:pStyle w:val="88"/>
      </w:pPr>
      <w:r>
        <w:t>5</w:t>
      </w:r>
      <w:r>
        <w:rPr>
          <w:rFonts w:hint="eastAsia"/>
        </w:rPr>
        <w:t>.8.2 智能测量设备应用</w:t>
      </w:r>
    </w:p>
    <w:p w14:paraId="19C8EE1F">
      <w:pPr>
        <w:spacing w:line="360" w:lineRule="auto"/>
        <w:ind w:firstLine="420" w:firstLineChars="200"/>
        <w:rPr>
          <w:rFonts w:ascii="宋体" w:hAnsi="宋体" w:cs="宋体"/>
          <w:szCs w:val="21"/>
        </w:rPr>
      </w:pPr>
      <w:r>
        <w:rPr>
          <w:rFonts w:hint="eastAsia" w:ascii="宋体" w:hAnsi="宋体" w:cs="宋体"/>
          <w:szCs w:val="21"/>
        </w:rPr>
        <w:t>施工现场宜使用三维激光扫描仪、放样机器人、测量机器人等智能测量设备用于建筑工程实测实量、测量放线、质量检测等分项工程。</w:t>
      </w:r>
    </w:p>
    <w:p w14:paraId="4C63CD04">
      <w:pPr>
        <w:pStyle w:val="90"/>
      </w:pPr>
      <w:r>
        <w:t xml:space="preserve">1 </w:t>
      </w:r>
      <w:r>
        <w:rPr>
          <w:rFonts w:hint="eastAsia"/>
        </w:rPr>
        <w:t>三维激光扫描仪应用</w:t>
      </w:r>
    </w:p>
    <w:p w14:paraId="2BBCDD4F">
      <w:pPr>
        <w:pStyle w:val="90"/>
      </w:pPr>
      <w:r>
        <w:t xml:space="preserve">    （</w:t>
      </w:r>
      <w:r>
        <w:rPr>
          <w:rFonts w:hint="eastAsia"/>
        </w:rPr>
        <w:t>1</w:t>
      </w:r>
      <w:r>
        <w:t>） 宜通过非接触式高速激光扫描测量，</w:t>
      </w:r>
      <w:r>
        <w:rPr>
          <w:rFonts w:hint="eastAsia"/>
        </w:rPr>
        <w:t>获取地形或复杂物体表面三维空间数据，形成点云模型。</w:t>
      </w:r>
    </w:p>
    <w:p w14:paraId="0782E4C9">
      <w:pPr>
        <w:pStyle w:val="90"/>
      </w:pPr>
      <w:r>
        <w:t xml:space="preserve">    （</w:t>
      </w:r>
      <w:r>
        <w:rPr>
          <w:rFonts w:hint="eastAsia"/>
        </w:rPr>
        <w:t>2</w:t>
      </w:r>
      <w:r>
        <w:t>） 测量现场、扫描后模型图片视频、测量操作短视频等应上传到项目、企业、行业平台。</w:t>
      </w:r>
    </w:p>
    <w:p w14:paraId="438FB8A1">
      <w:pPr>
        <w:pStyle w:val="90"/>
      </w:pPr>
      <w:r>
        <w:rPr>
          <w:rFonts w:hint="eastAsia"/>
        </w:rPr>
        <w:t>2 放样机器人应用</w:t>
      </w:r>
    </w:p>
    <w:p w14:paraId="7BAAC882">
      <w:pPr>
        <w:pStyle w:val="90"/>
      </w:pPr>
      <w:r>
        <w:rPr>
          <w:rFonts w:hint="eastAsia"/>
        </w:rPr>
        <w:t xml:space="preserve">    （1） 基于BIM放样机器人智能放样施工工艺流程包括BIM模型建立、BIM模型导入、放样机器人测站设定、模型测量点设置、放样测量和数据导出及应用等。</w:t>
      </w:r>
    </w:p>
    <w:p w14:paraId="61DB2321">
      <w:pPr>
        <w:pStyle w:val="90"/>
      </w:pPr>
      <w:r>
        <w:rPr>
          <w:rFonts w:hint="eastAsia"/>
        </w:rPr>
        <w:t xml:space="preserve">    （2） 放样机器人由两部分组成，带马达驱动的放样测量机器人（智能全站仪）和BIM放样APP软件。</w:t>
      </w:r>
    </w:p>
    <w:p w14:paraId="2EDF853A">
      <w:pPr>
        <w:pStyle w:val="90"/>
      </w:pPr>
      <w:r>
        <w:rPr>
          <w:rFonts w:hint="eastAsia"/>
        </w:rPr>
        <w:t>（3） 施工现场放样、BIM模型图片视频、放样短视频等应上传到项目、企业、行业平台。</w:t>
      </w:r>
    </w:p>
    <w:p w14:paraId="5006CC8C">
      <w:pPr>
        <w:pStyle w:val="90"/>
      </w:pPr>
      <w:r>
        <w:rPr>
          <w:rFonts w:hint="eastAsia"/>
        </w:rPr>
        <w:t xml:space="preserve">3 测量机器人应用 </w:t>
      </w:r>
      <w:r>
        <w:tab/>
      </w:r>
    </w:p>
    <w:p w14:paraId="2FE205D4">
      <w:pPr>
        <w:pStyle w:val="90"/>
      </w:pPr>
      <w:r>
        <w:rPr>
          <w:rFonts w:hint="eastAsia"/>
        </w:rPr>
        <w:t>（1） 施工完成后宜使用测量机器人精确测量建筑内部的尺寸。</w:t>
      </w:r>
    </w:p>
    <w:p w14:paraId="0D06703C">
      <w:pPr>
        <w:pStyle w:val="90"/>
      </w:pPr>
      <w:r>
        <w:rPr>
          <w:rFonts w:hint="eastAsia"/>
        </w:rPr>
        <w:t>（2） 测量机器人宜自动记录测量数据，包括墙面平整度、垂直度、门窗尺寸、建筑面积等，相关数据自动上传云端，可远程实时查询，显著提高测量效率。</w:t>
      </w:r>
    </w:p>
    <w:p w14:paraId="4B0C5595">
      <w:pPr>
        <w:pStyle w:val="88"/>
      </w:pPr>
      <w:r>
        <w:t xml:space="preserve">5.8.3 </w:t>
      </w:r>
      <w:r>
        <w:rPr>
          <w:rFonts w:hint="eastAsia"/>
        </w:rPr>
        <w:t>施工机器人应用</w:t>
      </w:r>
    </w:p>
    <w:p w14:paraId="333C2047">
      <w:pPr>
        <w:spacing w:line="360" w:lineRule="auto"/>
        <w:ind w:firstLine="420" w:firstLineChars="200"/>
        <w:rPr>
          <w:rFonts w:ascii="宋体" w:hAnsi="宋体" w:cs="宋体"/>
          <w:szCs w:val="21"/>
        </w:rPr>
      </w:pPr>
      <w:r>
        <w:rPr>
          <w:rFonts w:hint="eastAsia" w:ascii="宋体" w:hAnsi="宋体" w:cs="宋体"/>
          <w:szCs w:val="21"/>
        </w:rPr>
        <w:t>1 建筑工程施工现场作业宜使用地面抹光机器人、地面整平机器人、地砖铺贴机器人、墙板安装机器人、喷涂机器人、玻璃幕墙安装机器人、焊接机器人、混凝土打磨机器人、搬运机器人等施工机器人，结合工程施工工艺，以危险、复杂、脏乱、繁重的施工工序为重点，实现机器应用。</w:t>
      </w:r>
    </w:p>
    <w:p w14:paraId="24AF13E5">
      <w:pPr>
        <w:spacing w:line="360" w:lineRule="auto"/>
        <w:ind w:firstLine="420" w:firstLineChars="200"/>
        <w:rPr>
          <w:rFonts w:ascii="宋体" w:hAnsi="宋体" w:cs="宋体"/>
          <w:szCs w:val="21"/>
        </w:rPr>
      </w:pPr>
      <w:r>
        <w:rPr>
          <w:rFonts w:ascii="宋体" w:hAnsi="宋体" w:cs="宋体"/>
          <w:szCs w:val="21"/>
        </w:rPr>
        <w:t xml:space="preserve">2 </w:t>
      </w:r>
      <w:r>
        <w:rPr>
          <w:rFonts w:hint="eastAsia" w:ascii="宋体" w:hAnsi="宋体" w:cs="宋体"/>
          <w:szCs w:val="21"/>
        </w:rPr>
        <w:t>施工现场宜设置建筑机器人库房，建筑机器人库房应满足防火、防盗，防水要求，充电站应单独设置。</w:t>
      </w:r>
    </w:p>
    <w:p w14:paraId="6B9AF255">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宜采用BIM技术作为建筑机器人路径规划、路径自主导航、地形匹配等功能的基础，实现建筑机器人的可应用性。</w:t>
      </w:r>
    </w:p>
    <w:p w14:paraId="324FA549">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ascii="宋体" w:hAnsi="宋体" w:cs="宋体"/>
          <w:szCs w:val="21"/>
        </w:rPr>
        <w:t>应策划各阶段施工总平面图，重点关注机器人可通过性，宜简化材料堆场、缩短机器人上楼路径，保证机器人存放、充电安全，满足文明施工要求。</w:t>
      </w:r>
    </w:p>
    <w:p w14:paraId="3484A57B">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 xml:space="preserve"> </w:t>
      </w:r>
      <w:r>
        <w:rPr>
          <w:rFonts w:hint="eastAsia" w:ascii="宋体" w:hAnsi="宋体" w:cs="宋体"/>
          <w:szCs w:val="21"/>
        </w:rPr>
        <w:t>应在施工前期完成各级工序的拆分工作，与机器人强相关工序宜拆分至单户工程量，为项目各阶段人材机储备、机器人施工界面划分、机器人需求量、机器人成本分析、机器人穿插模型等工作提供基础数据。</w:t>
      </w:r>
    </w:p>
    <w:p w14:paraId="5FCD2FDB">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 xml:space="preserve"> </w:t>
      </w:r>
      <w:r>
        <w:rPr>
          <w:rFonts w:hint="eastAsia" w:ascii="宋体" w:hAnsi="宋体" w:cs="宋体"/>
          <w:szCs w:val="21"/>
        </w:rPr>
        <w:t>应合理划分施工界面，与机器人强相关的分项工程宜优先采用专业技术工人，并明确人机施工界面、合约界面及工序搭接。</w:t>
      </w:r>
    </w:p>
    <w:p w14:paraId="5DB1CC08">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 xml:space="preserve"> </w:t>
      </w:r>
      <w:r>
        <w:rPr>
          <w:rFonts w:hint="eastAsia" w:ascii="宋体" w:hAnsi="宋体" w:cs="宋体"/>
          <w:szCs w:val="21"/>
        </w:rPr>
        <w:t>施工现场宜使用机器人进行安全巡检，结合智能监控系统实现安全风险识别，发现异常应现场报警和远程报警。</w:t>
      </w:r>
    </w:p>
    <w:p w14:paraId="08ED4931">
      <w:pPr>
        <w:spacing w:line="360" w:lineRule="auto"/>
        <w:ind w:firstLine="420" w:firstLineChars="200"/>
        <w:rPr>
          <w:rFonts w:ascii="宋体" w:hAnsi="宋体" w:cs="宋体"/>
          <w:szCs w:val="21"/>
        </w:rPr>
      </w:pPr>
      <w:r>
        <w:rPr>
          <w:rFonts w:hint="eastAsia" w:ascii="宋体" w:hAnsi="宋体" w:cs="宋体"/>
          <w:szCs w:val="21"/>
        </w:rPr>
        <w:t>8</w:t>
      </w:r>
      <w:r>
        <w:rPr>
          <w:rFonts w:ascii="宋体" w:hAnsi="宋体" w:cs="宋体"/>
          <w:szCs w:val="21"/>
        </w:rPr>
        <w:t xml:space="preserve"> </w:t>
      </w:r>
      <w:r>
        <w:rPr>
          <w:rFonts w:hint="eastAsia" w:ascii="宋体" w:hAnsi="宋体" w:cs="宋体"/>
          <w:szCs w:val="21"/>
        </w:rPr>
        <w:t>应针对机器人应用进行施工方案深化，提高机器人工作效率、覆盖率。</w:t>
      </w:r>
    </w:p>
    <w:p w14:paraId="121DA110">
      <w:pPr>
        <w:spacing w:line="360" w:lineRule="auto"/>
        <w:ind w:firstLine="420"/>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应用施工机器人解决具体任务的视频应上传至项目、企业、行业平台，满足浏览、查看需要。</w:t>
      </w:r>
    </w:p>
    <w:p w14:paraId="15B8A880">
      <w:pPr>
        <w:pStyle w:val="88"/>
      </w:pPr>
      <w:r>
        <w:t>5</w:t>
      </w:r>
      <w:r>
        <w:rPr>
          <w:rFonts w:hint="eastAsia"/>
        </w:rPr>
        <w:t>.8.4 智能施工机械装备应用</w:t>
      </w:r>
    </w:p>
    <w:p w14:paraId="6824E720">
      <w:pPr>
        <w:spacing w:line="360" w:lineRule="auto"/>
        <w:ind w:firstLine="420" w:firstLineChars="200"/>
        <w:rPr>
          <w:rFonts w:ascii="宋体" w:hAnsi="宋体" w:cs="宋体"/>
          <w:szCs w:val="21"/>
        </w:rPr>
      </w:pPr>
      <w:r>
        <w:rPr>
          <w:rFonts w:hint="eastAsia" w:ascii="宋体" w:hAnsi="宋体" w:cs="宋体"/>
          <w:szCs w:val="21"/>
        </w:rPr>
        <w:t>施工现场宜使用智能塔吊、智能施工升降机、无人推土机、智能运输车等智能施工机械设备用于建筑工程项目现场施工作业场景。</w:t>
      </w:r>
    </w:p>
    <w:p w14:paraId="6AC3B267">
      <w:pPr>
        <w:pStyle w:val="90"/>
      </w:pPr>
      <w:r>
        <w:rPr>
          <w:rFonts w:hint="eastAsia"/>
        </w:rPr>
        <w:t>1</w:t>
      </w:r>
      <w:r>
        <w:t xml:space="preserve"> </w:t>
      </w:r>
      <w:r>
        <w:rPr>
          <w:rFonts w:hint="eastAsia"/>
        </w:rPr>
        <w:t>智能塔吊应用</w:t>
      </w:r>
    </w:p>
    <w:p w14:paraId="70A01C51">
      <w:pPr>
        <w:spacing w:line="360" w:lineRule="auto"/>
        <w:ind w:firstLine="420" w:firstLineChars="200"/>
        <w:rPr>
          <w:rFonts w:ascii="宋体" w:hAnsi="宋体" w:cs="宋体"/>
          <w:szCs w:val="21"/>
        </w:rPr>
      </w:pPr>
      <w:r>
        <w:rPr>
          <w:rFonts w:hint="eastAsia" w:ascii="宋体" w:hAnsi="宋体" w:cs="宋体"/>
          <w:szCs w:val="21"/>
        </w:rPr>
        <w:t>（1）智能塔吊应由智能感知单元、智能控制单元和智能管理单元等组成。用于对塔式起重机进行综合管控，能够实现对塔机工作状况和周边作业环境的感知、自动规划运行路径、安全预警与处理、智能调度管理、信息存储及展示等功能的智能化系统。</w:t>
      </w:r>
    </w:p>
    <w:p w14:paraId="496B35C7">
      <w:pPr>
        <w:spacing w:line="360" w:lineRule="auto"/>
        <w:ind w:firstLine="420" w:firstLineChars="200"/>
        <w:rPr>
          <w:rFonts w:ascii="宋体" w:hAnsi="宋体" w:cs="宋体"/>
          <w:szCs w:val="21"/>
        </w:rPr>
      </w:pPr>
      <w:r>
        <w:rPr>
          <w:rFonts w:hint="eastAsia" w:ascii="宋体" w:hAnsi="宋体" w:cs="宋体"/>
          <w:szCs w:val="21"/>
        </w:rPr>
        <w:t>（2）智能塔吊不应改变塔机的金属结构、工作机构、电气控制系统、安全装置、顶升加节以及附着安装拆卸方式。</w:t>
      </w:r>
    </w:p>
    <w:p w14:paraId="30FAF1EE">
      <w:pPr>
        <w:spacing w:line="360" w:lineRule="auto"/>
        <w:ind w:firstLine="420" w:firstLineChars="200"/>
        <w:rPr>
          <w:rFonts w:ascii="宋体" w:hAnsi="宋体" w:cs="宋体"/>
          <w:szCs w:val="21"/>
        </w:rPr>
      </w:pPr>
      <w:r>
        <w:rPr>
          <w:rFonts w:hint="eastAsia" w:ascii="宋体" w:hAnsi="宋体" w:cs="宋体"/>
          <w:szCs w:val="21"/>
        </w:rPr>
        <w:t>（3）智能塔吊应具有运行状态信息自动采集和自动分析处理功能。实现雷达、定位装置、摄像头、高度传感器、幅度传感器、回转传感器、重量及力矩传感器及风速仪等塔机运行状态信息的自动采集和自动分析处理。</w:t>
      </w:r>
    </w:p>
    <w:p w14:paraId="261FFAC0">
      <w:pPr>
        <w:spacing w:line="360" w:lineRule="auto"/>
        <w:ind w:firstLine="420" w:firstLineChars="200"/>
        <w:rPr>
          <w:rFonts w:ascii="宋体" w:hAnsi="宋体" w:cs="宋体"/>
          <w:szCs w:val="21"/>
        </w:rPr>
      </w:pPr>
      <w:r>
        <w:rPr>
          <w:rFonts w:hint="eastAsia" w:ascii="宋体" w:hAnsi="宋体" w:cs="宋体"/>
          <w:szCs w:val="21"/>
        </w:rPr>
        <w:t>（4）智能塔吊应具备自动规划运行路径功能。通过相应的智能控制算法，根据吊装任务的起、落点信息，智能塔吊控制系统能够自动规划运行路径和计算确定运行参数，实现自动避障和限位控制，高效完成空中自动运行。</w:t>
      </w:r>
    </w:p>
    <w:p w14:paraId="33E34F93">
      <w:pPr>
        <w:spacing w:line="360" w:lineRule="auto"/>
        <w:ind w:firstLine="420" w:firstLineChars="200"/>
        <w:rPr>
          <w:rFonts w:ascii="宋体" w:hAnsi="宋体" w:cs="宋体"/>
          <w:szCs w:val="21"/>
        </w:rPr>
      </w:pPr>
      <w:r>
        <w:rPr>
          <w:rFonts w:hint="eastAsia" w:ascii="宋体" w:hAnsi="宋体" w:cs="宋体"/>
          <w:szCs w:val="21"/>
        </w:rPr>
        <w:t>（5）智能塔吊应具备安全预警与处理功能。根据吊物当前的运行状态探测吊物与周边环境的距离，当行路径上出现障碍物时，应及时采取预警及主动安全控制措施，确保设备安全运行。</w:t>
      </w:r>
    </w:p>
    <w:p w14:paraId="32707A3E">
      <w:pPr>
        <w:spacing w:line="360" w:lineRule="auto"/>
        <w:ind w:firstLine="420" w:firstLineChars="200"/>
        <w:rPr>
          <w:rFonts w:ascii="宋体" w:hAnsi="宋体" w:cs="宋体"/>
          <w:szCs w:val="21"/>
        </w:rPr>
      </w:pPr>
      <w:r>
        <w:rPr>
          <w:rFonts w:hint="eastAsia" w:ascii="宋体" w:hAnsi="宋体" w:cs="宋体"/>
          <w:szCs w:val="21"/>
        </w:rPr>
        <w:t>（6）智能塔吊应具备智能调度管理功能。可通过提前创建吊装任务、常用路线、临时呼叫等多种方式合理进行塔机调度应用，有效解决塔机的抢用及降低停滞时间，提升塔机工作效率。</w:t>
      </w:r>
    </w:p>
    <w:p w14:paraId="200E6D13">
      <w:pPr>
        <w:spacing w:line="360" w:lineRule="auto"/>
        <w:ind w:firstLine="420" w:firstLineChars="200"/>
        <w:rPr>
          <w:rFonts w:ascii="宋体" w:hAnsi="宋体" w:cs="宋体"/>
          <w:szCs w:val="21"/>
        </w:rPr>
      </w:pPr>
      <w:r>
        <w:rPr>
          <w:rFonts w:hint="eastAsia" w:ascii="宋体" w:hAnsi="宋体" w:cs="宋体"/>
          <w:szCs w:val="21"/>
        </w:rPr>
        <w:t>（7）智能塔吊应具备运行信息存储及展示、分级权限管理、运行日志存储、故障分析等功能。并实现智能塔吊运行数据永久存储。</w:t>
      </w:r>
    </w:p>
    <w:p w14:paraId="647B2F7E">
      <w:pPr>
        <w:pStyle w:val="35"/>
        <w:ind w:firstLine="420" w:firstLineChars="200"/>
      </w:pPr>
      <w:r>
        <w:rPr>
          <w:rFonts w:hint="eastAsia"/>
        </w:rPr>
        <w:t>2.智能施工升降机应用</w:t>
      </w:r>
    </w:p>
    <w:p w14:paraId="64D9DA73">
      <w:pPr>
        <w:spacing w:line="360" w:lineRule="auto"/>
        <w:ind w:firstLine="420" w:firstLineChars="200"/>
        <w:rPr>
          <w:rFonts w:ascii="宋体" w:hAnsi="宋体" w:cs="宋体"/>
          <w:szCs w:val="21"/>
        </w:rPr>
      </w:pPr>
      <w:r>
        <w:rPr>
          <w:rFonts w:hint="eastAsia" w:ascii="宋体" w:hAnsi="宋体" w:cs="宋体"/>
          <w:szCs w:val="21"/>
        </w:rPr>
        <w:t>（1）智能升降机</w:t>
      </w:r>
      <w:r>
        <w:rPr>
          <w:rFonts w:ascii="宋体" w:hAnsi="宋体" w:cs="宋体"/>
          <w:szCs w:val="21"/>
        </w:rPr>
        <w:t>应具备自动控制和手动控制两种操作方式</w:t>
      </w:r>
      <w:r>
        <w:rPr>
          <w:rFonts w:hint="eastAsia" w:ascii="宋体" w:hAnsi="宋体" w:cs="宋体"/>
          <w:szCs w:val="21"/>
        </w:rPr>
        <w:t>，</w:t>
      </w:r>
      <w:r>
        <w:rPr>
          <w:rFonts w:ascii="宋体" w:hAnsi="宋体" w:cs="宋体"/>
          <w:szCs w:val="21"/>
        </w:rPr>
        <w:t>自动控制系统与手动控制系统为并联互锁，且应手动优先</w:t>
      </w:r>
      <w:r>
        <w:rPr>
          <w:rFonts w:hint="eastAsia" w:ascii="宋体" w:hAnsi="宋体" w:cs="宋体"/>
          <w:szCs w:val="21"/>
        </w:rPr>
        <w:t>。</w:t>
      </w:r>
    </w:p>
    <w:p w14:paraId="149E5A47">
      <w:pPr>
        <w:spacing w:line="360" w:lineRule="auto"/>
        <w:ind w:firstLine="420" w:firstLineChars="200"/>
        <w:rPr>
          <w:rFonts w:ascii="宋体" w:hAnsi="宋体" w:cs="宋体"/>
          <w:szCs w:val="21"/>
        </w:rPr>
      </w:pPr>
      <w:r>
        <w:rPr>
          <w:rFonts w:hint="eastAsia" w:ascii="宋体" w:hAnsi="宋体" w:cs="宋体"/>
          <w:szCs w:val="21"/>
        </w:rPr>
        <w:t>（2）智能升降机不应改变升降机的</w:t>
      </w:r>
      <w:r>
        <w:rPr>
          <w:rFonts w:ascii="宋体" w:hAnsi="宋体" w:cs="宋体"/>
          <w:szCs w:val="21"/>
        </w:rPr>
        <w:t>受力结构且不应改变升降机原有安全装置及电气控制系统的功能和性能</w:t>
      </w:r>
      <w:r>
        <w:rPr>
          <w:rFonts w:hint="eastAsia" w:ascii="宋体" w:hAnsi="宋体" w:cs="宋体"/>
          <w:szCs w:val="21"/>
        </w:rPr>
        <w:t>。</w:t>
      </w:r>
    </w:p>
    <w:p w14:paraId="19FA09DF">
      <w:pPr>
        <w:pStyle w:val="35"/>
        <w:ind w:firstLine="420" w:firstLineChars="200"/>
      </w:pPr>
      <w:r>
        <w:rPr>
          <w:rFonts w:hint="eastAsia"/>
        </w:rPr>
        <w:t>（3）</w:t>
      </w:r>
      <w:r>
        <w:t>智能升降机</w:t>
      </w:r>
      <w:r>
        <w:rPr>
          <w:rFonts w:hint="eastAsia"/>
        </w:rPr>
        <w:t>应具备</w:t>
      </w:r>
      <w:r>
        <w:t>安全监控系统</w:t>
      </w:r>
      <w:r>
        <w:rPr>
          <w:rFonts w:hint="eastAsia"/>
        </w:rPr>
        <w:t>，包含</w:t>
      </w:r>
      <w:r>
        <w:t>信息采集及处理、信息存储、信息显示、信息输出接口、危险报警与控制、楼层呼叫、远程传输、身份识别与系统管理、故障自诊断、视频监控、数据上传云平台</w:t>
      </w:r>
      <w:r>
        <w:rPr>
          <w:rFonts w:hint="eastAsia"/>
        </w:rPr>
        <w:t>等</w:t>
      </w:r>
      <w:r>
        <w:t>功能</w:t>
      </w:r>
      <w:r>
        <w:rPr>
          <w:rFonts w:hint="eastAsia"/>
        </w:rPr>
        <w:t>。</w:t>
      </w:r>
    </w:p>
    <w:p w14:paraId="28596CB5">
      <w:pPr>
        <w:pStyle w:val="35"/>
        <w:ind w:firstLine="420" w:firstLineChars="200"/>
      </w:pPr>
      <w:r>
        <w:rPr>
          <w:rFonts w:hint="eastAsia"/>
        </w:rPr>
        <w:t>（4）智能升降机</w:t>
      </w:r>
      <w:r>
        <w:t>安全监控系统应对载重量、吊笼运行高度、吊笼运行速度、吊笼运行方向加（减）速度、安全开关状态、电气联锁状态、机械联锁状态、顶部风速、操作者身份识别记录、吊笼内视频监控、智能升降机工作时间记录、累计工作时间、进入人员数量、人员信息、进入和离开吊笼时间等内容进行实时采集记录。在运行周期内系统信息的采集应具有连续性，采样周期不应大于100ms。</w:t>
      </w:r>
    </w:p>
    <w:p w14:paraId="09AC142E">
      <w:pPr>
        <w:pStyle w:val="35"/>
        <w:ind w:firstLine="420" w:firstLineChars="200"/>
      </w:pPr>
      <w:r>
        <w:rPr>
          <w:rFonts w:hint="eastAsia"/>
        </w:rPr>
        <w:t>（5）</w:t>
      </w:r>
      <w:r>
        <w:t>智能升降机应具有超载检测装置</w:t>
      </w:r>
      <w:r>
        <w:rPr>
          <w:rFonts w:hint="eastAsia"/>
        </w:rPr>
        <w:t>、</w:t>
      </w:r>
      <w:r>
        <w:t>超员检测装置</w:t>
      </w:r>
      <w:r>
        <w:rPr>
          <w:rFonts w:hint="eastAsia"/>
        </w:rPr>
        <w:t>、</w:t>
      </w:r>
      <w:r>
        <w:t>安全监控系统</w:t>
      </w:r>
      <w:r>
        <w:rPr>
          <w:rFonts w:hint="eastAsia"/>
        </w:rPr>
        <w:t>及</w:t>
      </w:r>
      <w:r>
        <w:t>自动平层功能</w:t>
      </w:r>
      <w:r>
        <w:rPr>
          <w:rFonts w:hint="eastAsia"/>
        </w:rPr>
        <w:t>。</w:t>
      </w:r>
    </w:p>
    <w:p w14:paraId="298ED392">
      <w:pPr>
        <w:pStyle w:val="35"/>
        <w:ind w:firstLine="420" w:firstLineChars="200"/>
      </w:pPr>
      <w:r>
        <w:rPr>
          <w:rFonts w:hint="eastAsia"/>
        </w:rPr>
        <w:t>（6）</w:t>
      </w:r>
      <w:r>
        <w:t>智能升降机的设计计算应符合GB/T 26557的有关规定</w:t>
      </w:r>
    </w:p>
    <w:p w14:paraId="67575DFB">
      <w:pPr>
        <w:pStyle w:val="35"/>
        <w:ind w:firstLine="420" w:firstLineChars="200"/>
      </w:pPr>
      <w:r>
        <w:rPr>
          <w:rFonts w:hint="eastAsia"/>
        </w:rPr>
        <w:t>（7）</w:t>
      </w:r>
      <w:r>
        <w:t>智能升降机应具备防冲顶安全保护功能。</w:t>
      </w:r>
    </w:p>
    <w:p w14:paraId="1DBD4D23">
      <w:pPr>
        <w:pStyle w:val="88"/>
      </w:pPr>
      <w:r>
        <w:t>5</w:t>
      </w:r>
      <w:r>
        <w:rPr>
          <w:rFonts w:hint="eastAsia"/>
        </w:rPr>
        <w:t>.8.5 智能施工集成平台应用</w:t>
      </w:r>
    </w:p>
    <w:p w14:paraId="02450139">
      <w:pPr>
        <w:spacing w:line="360" w:lineRule="auto"/>
        <w:ind w:firstLine="420" w:firstLineChars="200"/>
        <w:rPr>
          <w:rFonts w:ascii="宋体" w:hAnsi="宋体" w:cs="宋体"/>
          <w:szCs w:val="21"/>
        </w:rPr>
      </w:pPr>
      <w:r>
        <w:rPr>
          <w:rFonts w:hint="eastAsia" w:ascii="宋体" w:hAnsi="宋体" w:cs="宋体"/>
          <w:szCs w:val="21"/>
        </w:rPr>
        <w:t>1 高层、超高层建筑宜使用智能施工集成平台。</w:t>
      </w:r>
    </w:p>
    <w:p w14:paraId="2C4CA274">
      <w:pPr>
        <w:spacing w:line="360" w:lineRule="auto"/>
        <w:ind w:firstLine="420" w:firstLineChars="200"/>
        <w:rPr>
          <w:rFonts w:ascii="宋体" w:hAnsi="宋体" w:cs="宋体"/>
          <w:szCs w:val="21"/>
        </w:rPr>
      </w:pPr>
      <w:r>
        <w:rPr>
          <w:rFonts w:ascii="宋体" w:hAnsi="宋体" w:cs="宋体"/>
          <w:szCs w:val="21"/>
        </w:rPr>
        <w:t xml:space="preserve">2 </w:t>
      </w:r>
      <w:r>
        <w:rPr>
          <w:rFonts w:hint="eastAsia" w:ascii="宋体" w:hAnsi="宋体" w:cs="宋体"/>
          <w:szCs w:val="21"/>
        </w:rPr>
        <w:t>智能施工集成平台宜由爬升系统、作业平台、智能施工系统、围护系统、智能监测系统组成。</w:t>
      </w:r>
    </w:p>
    <w:p w14:paraId="1300FF35">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爬升系统应实现智能施工集成平台的整体顶升。</w:t>
      </w:r>
    </w:p>
    <w:p w14:paraId="284B4E2D">
      <w:pPr>
        <w:spacing w:line="360" w:lineRule="auto"/>
        <w:ind w:firstLine="420" w:firstLineChars="200"/>
        <w:rPr>
          <w:rFonts w:ascii="宋体" w:hAnsi="宋体" w:cs="宋体"/>
          <w:szCs w:val="21"/>
        </w:rPr>
      </w:pPr>
      <w:r>
        <w:rPr>
          <w:rFonts w:hint="eastAsia" w:ascii="宋体" w:hAnsi="宋体" w:cs="宋体"/>
          <w:szCs w:val="21"/>
        </w:rPr>
        <w:t>4作业平台应采用标准化构件设计，基于装配化连接节点实现模数化拼装，安拆便捷，可周转利用。</w:t>
      </w:r>
    </w:p>
    <w:p w14:paraId="6C02D77B">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 xml:space="preserve"> </w:t>
      </w:r>
      <w:r>
        <w:rPr>
          <w:rFonts w:hint="eastAsia" w:ascii="宋体" w:hAnsi="宋体" w:cs="宋体"/>
          <w:szCs w:val="21"/>
        </w:rPr>
        <w:t>智能施工系统宜设置标准化集成基座，集成各类悬挂式智能装备，轨道灵动变轨，实现机器人无障碍自由行走。</w:t>
      </w:r>
    </w:p>
    <w:p w14:paraId="4411804C">
      <w:pPr>
        <w:spacing w:line="360" w:lineRule="auto"/>
        <w:ind w:firstLine="420" w:firstLineChars="200"/>
        <w:rPr>
          <w:rFonts w:ascii="宋体" w:hAnsi="宋体" w:cs="宋体"/>
          <w:szCs w:val="21"/>
        </w:rPr>
      </w:pPr>
      <w:r>
        <w:rPr>
          <w:rFonts w:ascii="宋体" w:hAnsi="宋体" w:cs="宋体"/>
          <w:szCs w:val="21"/>
        </w:rPr>
        <w:t xml:space="preserve">6 </w:t>
      </w:r>
      <w:r>
        <w:rPr>
          <w:rFonts w:hint="eastAsia" w:ascii="宋体" w:hAnsi="宋体" w:cs="宋体"/>
          <w:szCs w:val="21"/>
        </w:rPr>
        <w:t>智能施工系统宜通过悬挂式作业最大程度降低建筑机器人自重对施工质量的不利影响，实现 “零负载”作业模式，打通建造场景工艺链。</w:t>
      </w:r>
    </w:p>
    <w:p w14:paraId="6E73ABC3">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 xml:space="preserve"> </w:t>
      </w:r>
      <w:r>
        <w:rPr>
          <w:rFonts w:hint="eastAsia" w:ascii="宋体" w:hAnsi="宋体" w:cs="宋体"/>
          <w:szCs w:val="21"/>
        </w:rPr>
        <w:t>围护系统应采用挂架与围护体系，宜采用折叠天幕，应对暴晒、下雨等恶劣天气，提升安全性及工作环境；</w:t>
      </w:r>
    </w:p>
    <w:p w14:paraId="669154F8">
      <w:pPr>
        <w:spacing w:line="360" w:lineRule="auto"/>
        <w:ind w:firstLine="420" w:firstLineChars="200"/>
        <w:rPr>
          <w:rFonts w:hAnsi="宋体" w:cs="宋体"/>
          <w:szCs w:val="21"/>
        </w:rPr>
      </w:pPr>
      <w:r>
        <w:rPr>
          <w:rFonts w:hint="eastAsia" w:ascii="宋体" w:hAnsi="宋体" w:cs="宋体"/>
          <w:szCs w:val="21"/>
        </w:rPr>
        <w:t>8</w:t>
      </w:r>
      <w:r>
        <w:rPr>
          <w:rFonts w:ascii="宋体" w:hAnsi="宋体" w:cs="宋体"/>
          <w:szCs w:val="21"/>
        </w:rPr>
        <w:t xml:space="preserve"> </w:t>
      </w:r>
      <w:r>
        <w:rPr>
          <w:rFonts w:hint="eastAsia" w:ascii="宋体" w:hAnsi="宋体" w:cs="宋体"/>
          <w:szCs w:val="21"/>
        </w:rPr>
        <w:t>智能监测系统应采用北斗卫星定位模块、静力水准仪、多轴倾角仪、振弦应变计等多源传感器，实时采集数据并进行信息融合，将数据上传云端，实现可视化实时监测与危险预警，确保施工过程的安全。</w:t>
      </w:r>
    </w:p>
    <w:bookmarkEnd w:id="110"/>
    <w:bookmarkEnd w:id="111"/>
    <w:bookmarkEnd w:id="112"/>
    <w:bookmarkEnd w:id="113"/>
    <w:p w14:paraId="686EFBC4">
      <w:pPr>
        <w:pStyle w:val="40"/>
        <w:ind w:firstLine="0" w:firstLineChars="0"/>
        <w:jc w:val="center"/>
        <w:outlineLvl w:val="1"/>
        <w:rPr>
          <w:rFonts w:hint="eastAsia" w:hAnsi="黑体" w:eastAsia="黑体" w:cs="黑体"/>
          <w:sz w:val="36"/>
          <w:szCs w:val="36"/>
          <w:lang w:val="en-US" w:eastAsia="zh-CN"/>
        </w:rPr>
      </w:pPr>
      <w:bookmarkStart w:id="114" w:name="_Toc29748"/>
      <w:r>
        <w:rPr>
          <w:rFonts w:ascii="黑体" w:hAnsi="黑体" w:eastAsia="黑体" w:cs="黑体"/>
          <w:szCs w:val="21"/>
        </w:rPr>
        <w:t xml:space="preserve">5.9 </w:t>
      </w:r>
      <w:r>
        <w:rPr>
          <w:rFonts w:hint="eastAsia" w:ascii="黑体" w:hAnsi="黑体" w:eastAsia="黑体" w:cs="黑体"/>
          <w:szCs w:val="21"/>
        </w:rPr>
        <w:t>数据集成应用</w:t>
      </w:r>
      <w:bookmarkEnd w:id="114"/>
      <w:r>
        <w:rPr>
          <w:rFonts w:hint="eastAsia" w:ascii="黑体" w:hAnsi="黑体" w:eastAsia="黑体" w:cs="黑体"/>
          <w:szCs w:val="21"/>
          <w:lang w:val="en-US" w:eastAsia="zh-CN"/>
        </w:rPr>
        <w:t>类</w:t>
      </w:r>
    </w:p>
    <w:p w14:paraId="3B71101B">
      <w:pPr>
        <w:pStyle w:val="88"/>
      </w:pPr>
      <w:r>
        <w:t>5</w:t>
      </w:r>
      <w:r>
        <w:rPr>
          <w:rFonts w:hint="eastAsia"/>
        </w:rPr>
        <w:t>.9.</w:t>
      </w:r>
      <w:r>
        <w:t>1</w:t>
      </w:r>
      <w:r>
        <w:rPr>
          <w:rFonts w:hint="eastAsia"/>
        </w:rPr>
        <w:t xml:space="preserve"> 人员管理数据集成应用</w:t>
      </w:r>
    </w:p>
    <w:p w14:paraId="5E5916D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人员管理数据集成应用通过劳动力用工数据集成及风险管控、劳务分包履约数据集成及风险管控两个部分的应用场景，实现对施工现场的精准管理，加强对劳务用工及分包履约评价的风险管控。</w:t>
      </w:r>
    </w:p>
    <w:p w14:paraId="7B83A3A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劳动力用工数据集成及风险管控应用</w:t>
      </w:r>
    </w:p>
    <w:p w14:paraId="042A920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（1）劳动力用工数据应包含班组信息、施工部位、已完成工作量、闸机考勤数量、任务完成时间等数据信息。</w:t>
      </w:r>
    </w:p>
    <w:p w14:paraId="7030749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）应具备结合生产进度，自动计算劳务实际工效，阶段汇总历史工效等功能。</w:t>
      </w:r>
    </w:p>
    <w:p w14:paraId="0DF606E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）能够结合实际工效，预测及分析劳动力用工趋势，自动计算劳务用工偏差并进行异常提醒。</w:t>
      </w:r>
    </w:p>
    <w:p w14:paraId="327450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）能够针对异常情况进行原因分析提示，支持异常情况的管理纠偏。</w:t>
      </w:r>
    </w:p>
    <w:p w14:paraId="3344AE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 xml:space="preserve"> 劳务分包履约数据集成及风险管控应用</w:t>
      </w:r>
    </w:p>
    <w:p w14:paraId="6CDF0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（1）劳务分包履约数据应包含劳务分包单位的进度、质量、安全、物资消耗等履约指标数据信息。</w:t>
      </w:r>
    </w:p>
    <w:p w14:paraId="427F5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）应具备自动计算劳务分包单位的进度、质量、安全、物资消耗等履约情况并形成对比表等功能。</w:t>
      </w:r>
    </w:p>
    <w:p w14:paraId="2A2DD164">
      <w:pPr>
        <w:spacing w:line="360" w:lineRule="auto"/>
        <w:ind w:firstLine="420" w:firstLineChars="200"/>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）支持对比劳务分包单位同一业务的履约情况或同一分包不同时段履约情况，能够快速查看和评估分包单位的履约能力。</w:t>
      </w:r>
    </w:p>
    <w:p w14:paraId="33FD45DB">
      <w:pPr>
        <w:pStyle w:val="88"/>
        <w:rPr>
          <w:color w:val="auto"/>
          <w:highlight w:val="none"/>
        </w:rPr>
      </w:pPr>
      <w:r>
        <w:rPr>
          <w:color w:val="auto"/>
          <w:highlight w:val="none"/>
        </w:rPr>
        <w:t>5</w:t>
      </w:r>
      <w:r>
        <w:rPr>
          <w:rFonts w:hint="eastAsia"/>
          <w:color w:val="auto"/>
          <w:highlight w:val="none"/>
        </w:rPr>
        <w:t>.9.2 质量管理数据集成应用</w:t>
      </w:r>
    </w:p>
    <w:p w14:paraId="5D8F06AC">
      <w:pPr>
        <w:pStyle w:val="35"/>
        <w:ind w:firstLine="420" w:firstLineChars="200"/>
        <w:rPr>
          <w:color w:val="auto"/>
          <w:highlight w:val="none"/>
        </w:rPr>
      </w:pPr>
      <w:r>
        <w:rPr>
          <w:rFonts w:hint="eastAsia"/>
          <w:color w:val="auto"/>
          <w:highlight w:val="none"/>
        </w:rPr>
        <w:t>质量管理数据集成应用通过建筑材料检验检测数据集成及风险管控、建筑质量测量数据集成及风险管控两个部分的应用场景，实现对工程质量状态的实时掌握，及时应对潜在风险，确保工程质量和安全。</w:t>
      </w:r>
    </w:p>
    <w:p w14:paraId="166DB3B5">
      <w:pPr>
        <w:pStyle w:val="35"/>
        <w:ind w:firstLine="420" w:firstLineChars="200"/>
        <w:rPr>
          <w:color w:val="auto"/>
          <w:highlight w:val="none"/>
        </w:rPr>
      </w:pPr>
      <w:r>
        <w:rPr>
          <w:rFonts w:hint="eastAsia"/>
          <w:color w:val="auto"/>
          <w:highlight w:val="none"/>
        </w:rPr>
        <w:t>1 建筑材料检验检测数据集成及风险管控应用</w:t>
      </w:r>
    </w:p>
    <w:p w14:paraId="0993F5BB">
      <w:pPr>
        <w:pStyle w:val="35"/>
        <w:ind w:firstLine="420" w:firstLineChars="200"/>
        <w:rPr>
          <w:color w:val="auto"/>
          <w:highlight w:val="none"/>
        </w:rPr>
      </w:pPr>
      <w:r>
        <w:rPr>
          <w:rFonts w:hint="eastAsia"/>
          <w:color w:val="auto"/>
          <w:highlight w:val="none"/>
        </w:rPr>
        <w:t>（1）建筑材料检验检测信息应包括材料名称、工程部位、检测单位、检测项目、检测类型、检测时间、取样人、见证人、样品信息等数据。</w:t>
      </w:r>
    </w:p>
    <w:p w14:paraId="0C46CBA5">
      <w:pPr>
        <w:pStyle w:val="35"/>
        <w:ind w:firstLine="420" w:firstLineChars="200"/>
        <w:rPr>
          <w:color w:val="auto"/>
        </w:rPr>
      </w:pPr>
      <w:r>
        <w:rPr>
          <w:rFonts w:hint="eastAsia"/>
        </w:rPr>
        <w:t>（2）建筑材料检验检测材料不合格时应对此项材料数据进行报警，通知现场负责人进行</w:t>
      </w:r>
      <w:r>
        <w:rPr>
          <w:rFonts w:hint="eastAsia"/>
          <w:color w:val="auto"/>
        </w:rPr>
        <w:t>闭环处理，处置方案和整改结果上传</w:t>
      </w:r>
      <w:r>
        <w:rPr>
          <w:rFonts w:hint="eastAsia"/>
          <w:color w:val="auto"/>
          <w:lang w:val="en-US" w:eastAsia="zh-CN"/>
        </w:rPr>
        <w:t>行业</w:t>
      </w:r>
      <w:r>
        <w:rPr>
          <w:rFonts w:hint="eastAsia"/>
          <w:color w:val="auto"/>
          <w:lang w:val="en-US" w:eastAsia="zh-CN"/>
        </w:rPr>
        <w:t>平台</w:t>
      </w:r>
      <w:r>
        <w:rPr>
          <w:rFonts w:hint="eastAsia"/>
          <w:color w:val="auto"/>
        </w:rPr>
        <w:t>。</w:t>
      </w:r>
    </w:p>
    <w:p w14:paraId="12FF4213">
      <w:pPr>
        <w:pStyle w:val="8"/>
        <w:spacing w:line="360" w:lineRule="auto"/>
        <w:ind w:firstLine="420" w:firstLineChars="200"/>
        <w:rPr>
          <w:color w:val="auto"/>
        </w:rPr>
      </w:pPr>
      <w:r>
        <w:rPr>
          <w:rFonts w:hint="eastAsia"/>
          <w:color w:val="auto"/>
        </w:rPr>
        <w:t>（3）混凝土、砂浆检验检测数据应与标养箱（室）养护数据相关联，标准试块的强度检测结果应包含自动采集的标准养护温度、湿度、时间等信息。</w:t>
      </w:r>
    </w:p>
    <w:p w14:paraId="6596912A">
      <w:pPr>
        <w:pStyle w:val="35"/>
        <w:ind w:firstLine="315" w:firstLineChars="150"/>
        <w:rPr>
          <w:color w:val="auto"/>
        </w:rPr>
      </w:pPr>
      <w:r>
        <w:rPr>
          <w:rFonts w:hint="eastAsia"/>
          <w:color w:val="auto"/>
        </w:rPr>
        <w:t>2 建筑质量测量数据集成及风险管控</w:t>
      </w:r>
      <w:r>
        <w:rPr>
          <w:rFonts w:hint="eastAsia"/>
          <w:color w:val="auto"/>
          <w:highlight w:val="none"/>
        </w:rPr>
        <w:t>应用</w:t>
      </w:r>
    </w:p>
    <w:p w14:paraId="5C4BF649">
      <w:pPr>
        <w:pStyle w:val="35"/>
        <w:ind w:firstLine="420" w:firstLineChars="200"/>
        <w:rPr>
          <w:color w:val="auto"/>
        </w:rPr>
      </w:pPr>
      <w:r>
        <w:rPr>
          <w:rFonts w:hint="eastAsia"/>
          <w:color w:val="auto"/>
        </w:rPr>
        <w:t>（1）建筑质量测量数据包含复验验收、分户验收等实测实量数据。</w:t>
      </w:r>
    </w:p>
    <w:p w14:paraId="69343C4A">
      <w:pPr>
        <w:pStyle w:val="35"/>
        <w:ind w:firstLine="420" w:firstLineChars="200"/>
        <w:rPr>
          <w:rFonts w:hint="eastAsia" w:eastAsia="宋体"/>
          <w:color w:val="auto"/>
          <w:lang w:eastAsia="zh-CN"/>
        </w:rPr>
      </w:pPr>
      <w:r>
        <w:rPr>
          <w:rFonts w:hint="eastAsia"/>
          <w:color w:val="auto"/>
        </w:rPr>
        <w:t>（2）建筑质量测量数据应与材料检验检测数据相关联，能够对同一工程部位进行数据综合判断分析，对异常数据进行报警，并通知现场负责人进行闭环处理，处置方案和整改结果上传</w:t>
      </w:r>
      <w:r>
        <w:rPr>
          <w:rFonts w:hint="eastAsia"/>
          <w:color w:val="auto"/>
          <w:lang w:val="en-US" w:eastAsia="zh-CN"/>
        </w:rPr>
        <w:t>行业平台。</w:t>
      </w:r>
    </w:p>
    <w:p w14:paraId="5F8352C0">
      <w:pPr>
        <w:pStyle w:val="88"/>
      </w:pPr>
      <w:r>
        <w:t xml:space="preserve">5.9.3 </w:t>
      </w:r>
      <w:r>
        <w:rPr>
          <w:rFonts w:hint="eastAsia"/>
        </w:rPr>
        <w:t>安全管理数据集成应用</w:t>
      </w:r>
    </w:p>
    <w:p w14:paraId="7EC575B3">
      <w:pPr>
        <w:pStyle w:val="35"/>
        <w:ind w:firstLine="420" w:firstLineChars="200"/>
        <w:rPr>
          <w:highlight w:val="none"/>
        </w:rPr>
      </w:pPr>
      <w:r>
        <w:rPr>
          <w:rFonts w:hint="eastAsia"/>
          <w:highlight w:val="none"/>
        </w:rPr>
        <w:t>安全管理数据集成应用通过设备安全监测数据集成及风险管控、安全隐患数据集成及风险管控、安全巡检数据集成及风险管控三个部分的应用场景，实现对工程设备运行状态、安全隐患和巡检状况等关键信息的实时掌握，及时进行决策和处理，确保施工安全和人员安全。</w:t>
      </w:r>
    </w:p>
    <w:p w14:paraId="3D5DCBA1">
      <w:pPr>
        <w:pStyle w:val="35"/>
        <w:ind w:firstLine="420" w:firstLineChars="200"/>
        <w:rPr>
          <w:color w:val="auto"/>
          <w:highlight w:val="none"/>
        </w:rPr>
      </w:pPr>
      <w:r>
        <w:rPr>
          <w:rFonts w:hint="eastAsia"/>
          <w:highlight w:val="none"/>
        </w:rPr>
        <w:t>1 设备安全监测数据集</w:t>
      </w:r>
      <w:r>
        <w:rPr>
          <w:rFonts w:hint="eastAsia"/>
          <w:color w:val="auto"/>
          <w:highlight w:val="none"/>
        </w:rPr>
        <w:t>成及风险管控应用</w:t>
      </w:r>
    </w:p>
    <w:p w14:paraId="4111667D">
      <w:pPr>
        <w:pStyle w:val="35"/>
        <w:ind w:firstLine="420" w:firstLineChars="200"/>
        <w:rPr>
          <w:color w:val="auto"/>
          <w:highlight w:val="none"/>
        </w:rPr>
      </w:pPr>
      <w:r>
        <w:rPr>
          <w:rFonts w:hint="eastAsia"/>
          <w:color w:val="auto"/>
          <w:highlight w:val="none"/>
        </w:rPr>
        <w:t>（1）设备安全监测数据应包含塔吊监测数据、升降机监测数据、卸料平台监测数据、吊篮监测数据、临电箱监测数据。</w:t>
      </w:r>
    </w:p>
    <w:p w14:paraId="5A84375F">
      <w:pPr>
        <w:pStyle w:val="35"/>
        <w:ind w:firstLine="420" w:firstLineChars="200"/>
        <w:rPr>
          <w:color w:val="auto"/>
          <w:highlight w:val="none"/>
        </w:rPr>
      </w:pPr>
      <w:r>
        <w:rPr>
          <w:rFonts w:hint="eastAsia"/>
          <w:color w:val="auto"/>
          <w:highlight w:val="none"/>
        </w:rPr>
        <w:t>（2）设备安全监测数据应监测到设备异常数据后进行报警，通知现场管理人员进行闭环处置。</w:t>
      </w:r>
    </w:p>
    <w:p w14:paraId="10D00690">
      <w:pPr>
        <w:pStyle w:val="35"/>
        <w:ind w:firstLine="420" w:firstLineChars="200"/>
        <w:rPr>
          <w:color w:val="auto"/>
          <w:highlight w:val="none"/>
        </w:rPr>
      </w:pPr>
      <w:r>
        <w:rPr>
          <w:rFonts w:hint="eastAsia"/>
          <w:color w:val="auto"/>
          <w:highlight w:val="none"/>
        </w:rPr>
        <w:t>（3）设备报警数据应具有统计功能，塔吊、升降机报警数据应与塔吊司机、升降机司机人员管理相关联，报警数据较多时应对塔吊司机和升降机司机进行培训、教育或更换；自动化管理的卸料平台、吊篮、临电箱等重要安全设备应设置现场管理负责人。报警数据较多时应人工对重要安全设备进行全面检查，分析查找报警原因并及时处置。</w:t>
      </w:r>
    </w:p>
    <w:p w14:paraId="72BA51DE">
      <w:pPr>
        <w:pStyle w:val="35"/>
        <w:ind w:firstLine="420" w:firstLineChars="200"/>
        <w:rPr>
          <w:highlight w:val="none"/>
        </w:rPr>
      </w:pPr>
      <w:r>
        <w:rPr>
          <w:rFonts w:hint="eastAsia"/>
          <w:highlight w:val="none"/>
        </w:rPr>
        <w:t>（4）设备安全监测数据应与环境监测数据相关联。当现场风速监测为六级及以上时，如监测到设备仍有运行数据，应进行报警并通知现场管理人员进行设备停止运行。</w:t>
      </w:r>
    </w:p>
    <w:p w14:paraId="797AD746">
      <w:pPr>
        <w:pStyle w:val="35"/>
        <w:rPr>
          <w:highlight w:val="none"/>
        </w:rPr>
      </w:pPr>
      <w:r>
        <w:rPr>
          <w:rFonts w:hint="eastAsia"/>
          <w:highlight w:val="none"/>
        </w:rPr>
        <w:t xml:space="preserve">     2 安全隐患数据集成及风险管控应用</w:t>
      </w:r>
    </w:p>
    <w:p w14:paraId="2F20B4AA">
      <w:pPr>
        <w:pStyle w:val="35"/>
        <w:ind w:firstLine="420" w:firstLineChars="200"/>
        <w:rPr>
          <w:highlight w:val="none"/>
        </w:rPr>
      </w:pPr>
      <w:r>
        <w:rPr>
          <w:rFonts w:hint="eastAsia"/>
          <w:highlight w:val="none"/>
        </w:rPr>
        <w:t>（1）安全隐患数据应包含AI危险源监测数据、深基坑监测数据、高支模监测数据、临边防护监测数据、周界防护监测数据。</w:t>
      </w:r>
    </w:p>
    <w:p w14:paraId="5245B5EC">
      <w:pPr>
        <w:pStyle w:val="35"/>
        <w:ind w:firstLine="420" w:firstLineChars="200"/>
        <w:rPr>
          <w:highlight w:val="none"/>
        </w:rPr>
      </w:pPr>
      <w:r>
        <w:rPr>
          <w:rFonts w:hint="eastAsia"/>
          <w:highlight w:val="none"/>
        </w:rPr>
        <w:t>（2）安全隐患数据应监测到隐患后进行报警，并通知现场管理人员进行闭环处置。</w:t>
      </w:r>
    </w:p>
    <w:p w14:paraId="173B43AD">
      <w:pPr>
        <w:pStyle w:val="35"/>
        <w:ind w:firstLine="420" w:firstLineChars="200"/>
        <w:rPr>
          <w:highlight w:val="none"/>
        </w:rPr>
      </w:pPr>
      <w:r>
        <w:rPr>
          <w:rFonts w:hint="eastAsia"/>
          <w:highlight w:val="none"/>
        </w:rPr>
        <w:t>（3）安全隐患报警数据应具有统计功能，AI危险源监测、深基坑、高支模、临边防护、周界防护应设置现场管理负责人，报警数据较多时应对AI危险源监测、深基坑、高支模、临边防护、周界防护进行全面检查，分析和查找报警原因，并对现场管理负责人进行培训、教育或更换。</w:t>
      </w:r>
    </w:p>
    <w:p w14:paraId="17D18CF7">
      <w:pPr>
        <w:pStyle w:val="35"/>
        <w:ind w:firstLine="420" w:firstLineChars="200"/>
        <w:rPr>
          <w:highlight w:val="none"/>
        </w:rPr>
      </w:pPr>
      <w:r>
        <w:rPr>
          <w:rFonts w:hint="eastAsia"/>
          <w:highlight w:val="none"/>
        </w:rPr>
        <w:t>（4）AI危险源监测数据宜与人员数据相关联，违规事件人员宜体现人员姓名、人员身份证、人员班组、人员班组负责人。当人员违规次数较多时，应对此人进行培训、教育或者清退。</w:t>
      </w:r>
    </w:p>
    <w:p w14:paraId="78037235">
      <w:pPr>
        <w:pStyle w:val="35"/>
        <w:ind w:firstLine="420" w:firstLineChars="200"/>
        <w:rPr>
          <w:highlight w:val="none"/>
        </w:rPr>
      </w:pPr>
      <w:r>
        <w:rPr>
          <w:rFonts w:hint="eastAsia"/>
          <w:highlight w:val="none"/>
        </w:rPr>
        <w:t>3 安全巡检数据集成及风险管控应用</w:t>
      </w:r>
    </w:p>
    <w:p w14:paraId="133C22AD">
      <w:pPr>
        <w:pStyle w:val="35"/>
        <w:ind w:firstLine="420" w:firstLineChars="200"/>
        <w:rPr>
          <w:highlight w:val="none"/>
        </w:rPr>
      </w:pPr>
      <w:r>
        <w:rPr>
          <w:rFonts w:hint="eastAsia"/>
          <w:highlight w:val="none"/>
        </w:rPr>
        <w:t>（1）安全巡检数据应包含巡检人员、巡检时间、巡检轨迹、巡检影像等数据。</w:t>
      </w:r>
    </w:p>
    <w:p w14:paraId="66619344">
      <w:pPr>
        <w:pStyle w:val="35"/>
        <w:ind w:firstLine="420" w:firstLineChars="200"/>
        <w:rPr>
          <w:highlight w:val="none"/>
        </w:rPr>
      </w:pPr>
      <w:r>
        <w:rPr>
          <w:rFonts w:hint="eastAsia"/>
          <w:highlight w:val="none"/>
        </w:rPr>
        <w:t>（2）安全巡检数据应对巡检任务进行检查，当监测到未进行巡检和巡检不到位时应进行报警，并通知现场管理人员。</w:t>
      </w:r>
    </w:p>
    <w:p w14:paraId="4E8135F2">
      <w:pPr>
        <w:pStyle w:val="35"/>
        <w:ind w:firstLine="420" w:firstLineChars="200"/>
      </w:pPr>
      <w:r>
        <w:rPr>
          <w:rFonts w:hint="eastAsia"/>
        </w:rPr>
        <w:t>（3）安全巡检应与安全设备检查和安全隐患排查相结合。</w:t>
      </w:r>
    </w:p>
    <w:p w14:paraId="1DBCAC94">
      <w:pPr>
        <w:pStyle w:val="88"/>
      </w:pPr>
      <w:r>
        <w:t>5</w:t>
      </w:r>
      <w:r>
        <w:rPr>
          <w:rFonts w:hint="eastAsia"/>
        </w:rPr>
        <w:t>.9.</w:t>
      </w:r>
      <w:r>
        <w:t>4</w:t>
      </w:r>
      <w:r>
        <w:rPr>
          <w:rFonts w:hint="eastAsia"/>
        </w:rPr>
        <w:t xml:space="preserve"> 进度管理数据集成应用</w:t>
      </w:r>
    </w:p>
    <w:p w14:paraId="6E2FA0F7">
      <w:pPr>
        <w:pStyle w:val="35"/>
        <w:ind w:firstLine="315" w:firstLineChars="150"/>
        <w:rPr>
          <w:highlight w:val="none"/>
        </w:rPr>
      </w:pPr>
      <w:r>
        <w:rPr>
          <w:rFonts w:hint="eastAsia"/>
          <w:highlight w:val="none"/>
        </w:rPr>
        <w:t>进度管理数据集成应用通过进度数据集成及风险管控应用场景，实现对工程项目进度多层次、多维度数据的高效整合与管理，提升项目进度的可视化、可控性及风险预测能力，确保资源合理配置。</w:t>
      </w:r>
    </w:p>
    <w:p w14:paraId="3B95CEEB">
      <w:pPr>
        <w:pStyle w:val="35"/>
        <w:ind w:firstLine="315" w:firstLineChars="150"/>
        <w:rPr>
          <w:highlight w:val="none"/>
        </w:rPr>
      </w:pPr>
      <w:r>
        <w:rPr>
          <w:rFonts w:hint="eastAsia"/>
          <w:highlight w:val="none"/>
        </w:rPr>
        <w:t>1 进度数据集成及风险管控应用</w:t>
      </w:r>
    </w:p>
    <w:p w14:paraId="5F3A8E08">
      <w:pPr>
        <w:pStyle w:val="35"/>
        <w:ind w:firstLine="420" w:firstLineChars="200"/>
        <w:rPr>
          <w:highlight w:val="none"/>
        </w:rPr>
      </w:pPr>
      <w:r>
        <w:rPr>
          <w:rFonts w:hint="eastAsia"/>
          <w:highlight w:val="none"/>
        </w:rPr>
        <w:t>（1）应集成计划工程量、实际工程量、进度计划、劳务人员数量等数据，与生产任务进行连接，通过生产任务查看相关信息，支持查看资源（人、材料）匹配情况及异常情况。</w:t>
      </w:r>
    </w:p>
    <w:p w14:paraId="6319D583">
      <w:pPr>
        <w:pStyle w:val="35"/>
        <w:ind w:firstLine="420" w:firstLineChars="200"/>
        <w:rPr>
          <w:highlight w:val="none"/>
        </w:rPr>
      </w:pPr>
      <w:r>
        <w:rPr>
          <w:rFonts w:hint="eastAsia"/>
          <w:highlight w:val="none"/>
        </w:rPr>
        <w:t>（2）应集成项目生产进度及资源匹配数据通过二维或三维模型查看项目各阶段生产进度完成情况，支持逐级查看生产任务完成情况及偏差情况，自动判断及预测进度风险，自动推送预警信息。</w:t>
      </w:r>
    </w:p>
    <w:p w14:paraId="676BD30A">
      <w:pPr>
        <w:pStyle w:val="35"/>
        <w:ind w:firstLine="420" w:firstLineChars="200"/>
        <w:rPr>
          <w:highlight w:val="none"/>
        </w:rPr>
      </w:pPr>
      <w:r>
        <w:rPr>
          <w:rFonts w:hint="eastAsia"/>
          <w:highlight w:val="none"/>
        </w:rPr>
        <w:t>（3）应集成总计划、期间计划、周计划等多级次的计划数据，自动连接多级计划并支持联动展示，支持查看任务偏差情况及偏差原因，自动推送待施工任务及配套工作提醒。</w:t>
      </w:r>
    </w:p>
    <w:p w14:paraId="13F95B84">
      <w:pPr>
        <w:pStyle w:val="35"/>
        <w:ind w:firstLine="420" w:firstLineChars="200"/>
        <w:rPr>
          <w:highlight w:val="none"/>
        </w:rPr>
      </w:pPr>
      <w:r>
        <w:rPr>
          <w:rFonts w:hint="eastAsia"/>
          <w:highlight w:val="none"/>
        </w:rPr>
        <w:t>（4）应集成多专项计划或配套计划数据，支持联动展示协同情况及相互影响，支持查看任务偏差情况及偏差原因。</w:t>
      </w:r>
    </w:p>
    <w:p w14:paraId="0859FF6F">
      <w:pPr>
        <w:pStyle w:val="88"/>
      </w:pPr>
      <w:r>
        <w:t>5</w:t>
      </w:r>
      <w:r>
        <w:rPr>
          <w:rFonts w:hint="eastAsia"/>
        </w:rPr>
        <w:t>.</w:t>
      </w:r>
      <w:r>
        <w:t>9</w:t>
      </w:r>
      <w:r>
        <w:rPr>
          <w:rFonts w:hint="eastAsia"/>
        </w:rPr>
        <w:t>.</w:t>
      </w:r>
      <w:r>
        <w:t>5</w:t>
      </w:r>
      <w:r>
        <w:rPr>
          <w:rFonts w:hint="eastAsia"/>
        </w:rPr>
        <w:t xml:space="preserve"> 物资管理数据集成应用</w:t>
      </w:r>
    </w:p>
    <w:p w14:paraId="31CBF3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物资管理数据集成应用通过材料优化数据集成及风险管控、材料验收数据集成及风险管控、材料库存数据集成及风险管控、材料使用数据集成及风险管控四个部分的应用场景，实现材料的全过程动态管理，确保各阶段材料管理的透明度和精准度。</w:t>
      </w:r>
    </w:p>
    <w:p w14:paraId="7FA8E7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材料优化数据集成及风险管控应用</w:t>
      </w:r>
    </w:p>
    <w:p w14:paraId="0DD3FF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（1）材料优化数据应包含材料优化目标、材料名称、材料部位、规格型号、计量单位、优化单位、预算数量、优化数量等数据信息。</w:t>
      </w:r>
    </w:p>
    <w:p w14:paraId="18F8C38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）应具备按材料类型、劳务班组、材料部位进行材料优化统计的功能，支持预算量、优化量的对比分析，并支持云端查验等功能。</w:t>
      </w:r>
    </w:p>
    <w:p w14:paraId="1A7271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）对不满足优化目标的材料，能够按照材料类型及部位进行异常提醒。</w:t>
      </w:r>
    </w:p>
    <w:p w14:paraId="0DDBF1CD">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618FC5E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材料验收数据集成及风险管控应用</w:t>
      </w:r>
    </w:p>
    <w:p w14:paraId="63A9415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（1）材料验收数据应包含材料名称、规格型号、计量单位、运单数量、实际数量、供应商名称、验收时间、验收人员、验收影像等数据信息。</w:t>
      </w:r>
    </w:p>
    <w:p w14:paraId="6F3D30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）应具备通过地磅、手机等智能硬件完成现场验收、车辆等信息的采集、管理及防作弊功能。</w:t>
      </w:r>
    </w:p>
    <w:p w14:paraId="197E57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）对不满足管理目标的材料，能够按照材料类型及部位进行异常提醒。</w:t>
      </w:r>
    </w:p>
    <w:p w14:paraId="6A50B8B2">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46823A6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 材料库存数据集成及风险管控应用</w:t>
      </w:r>
    </w:p>
    <w:p w14:paraId="0D0750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（1）材料库存数据应包含库房名称、材料名称、材料部位、规格型号、计量单位、库存数量、计划数量、入库影像、理论库存等数据信息。</w:t>
      </w:r>
    </w:p>
    <w:p w14:paraId="6C9B57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应具备库房名称、材料名称、规格型号、计量单位、库存数量、入库影像等数据的采集功能，并依据收发数据计算理论库存，同时基于盘点数据自动分析库存盈亏的功能，以及结合计划数量，判断一个周期内是否存在材料缺口的功能。</w:t>
      </w:r>
    </w:p>
    <w:p w14:paraId="1E83B5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）对不满足管理目标的材料，能够按照材料类型及部位进行异常提醒。</w:t>
      </w:r>
    </w:p>
    <w:p w14:paraId="61E5AE94">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1D53BA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 材料使用数据集成及风险管控应用</w:t>
      </w:r>
    </w:p>
    <w:p w14:paraId="3033A4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（1）材料使用数据应包含材料损耗目标、材料名称、规格型号、计量单位、使用单位、使用部位、预算数量、计划数量、优化数量、使用数量等数据信息。</w:t>
      </w:r>
    </w:p>
    <w:p w14:paraId="4847CB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）应具备按材料类型、劳务班组、使用部位进行发料、消耗、损耗等统计的功能，支持预算量、计划量、优化量、实际量的对比分析，并支持云端查验等功能。</w:t>
      </w:r>
    </w:p>
    <w:p w14:paraId="0544E69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）对不满足损耗目标的材料，能够按照材料类型及部位进行异常提醒。</w:t>
      </w:r>
    </w:p>
    <w:p w14:paraId="2CADA1D3">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2330A08C">
      <w:pPr>
        <w:pStyle w:val="88"/>
      </w:pPr>
      <w:r>
        <w:t>5</w:t>
      </w:r>
      <w:r>
        <w:rPr>
          <w:rFonts w:hint="eastAsia"/>
        </w:rPr>
        <w:t>.9.</w:t>
      </w:r>
      <w:r>
        <w:t>6</w:t>
      </w:r>
      <w:r>
        <w:rPr>
          <w:rFonts w:hint="eastAsia"/>
        </w:rPr>
        <w:t xml:space="preserve"> 成本管理数据集成应用</w:t>
      </w:r>
    </w:p>
    <w:p w14:paraId="43BCACA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本管理数据集成应用通过合同数据集成及风险管控、产值数据集成及风险管控、成本数据集成及风险管控、资金数据集成及风险管控四个部分的应用场景，及时有效识别和控制成本风险，实现项目动态决策和管理，提升项目经济效益。</w:t>
      </w:r>
    </w:p>
    <w:p w14:paraId="1F2DDBD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合同数据集成及风险管控应用</w:t>
      </w:r>
    </w:p>
    <w:p w14:paraId="6C5F731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（1）应能录入全部合同条款，分析合同条款的合法性，并对主要合同风险进行识别和预警；</w:t>
      </w:r>
    </w:p>
    <w:p w14:paraId="448A2CC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（2）应能对关键合同条款执行情况定期更新，并能对主要履约风险进行预警；</w:t>
      </w:r>
    </w:p>
    <w:p w14:paraId="7B91956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（3）应对合同外签证索赔的原因、证据、过程记录、工程量、金额等数据进行记录、汇总，不满足管理目标的进行异常提醒；</w:t>
      </w:r>
    </w:p>
    <w:p w14:paraId="6630B6F4">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111E9079">
      <w:pP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产值数据集成及风险管控应用</w:t>
      </w:r>
    </w:p>
    <w:p w14:paraId="092BE83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（1）产值数据应包</w:t>
      </w:r>
      <w:r>
        <w:rPr>
          <w:rFonts w:hint="eastAsia" w:ascii="宋体" w:hAnsi="宋体" w:cs="宋体"/>
          <w:color w:val="000000" w:themeColor="text1"/>
          <w:szCs w:val="21"/>
          <w14:textFill>
            <w14:solidFill>
              <w14:schemeClr w14:val="tx1"/>
            </w14:solidFill>
          </w14:textFill>
        </w:rPr>
        <w:t>含合同清单、进度计划、实际进度、工程部位、核算对象、报甲产值、确权产值、计划产值、实际产值等数据信息；</w:t>
      </w:r>
    </w:p>
    <w:p w14:paraId="32A2580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（2）应具备结合工程部位、进度计划、实际进度、合同清单自动计算计划产值和实际产值等功能；</w:t>
      </w:r>
    </w:p>
    <w:p w14:paraId="37D168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（3）支持按合同清单、核算对象口径将报甲产值、确权产值、计划产值、实际产值自动生</w:t>
      </w:r>
      <w:r>
        <w:rPr>
          <w:rFonts w:hint="eastAsia" w:ascii="宋体" w:hAnsi="宋体" w:cs="宋体"/>
          <w:color w:val="000000" w:themeColor="text1"/>
          <w:szCs w:val="21"/>
          <w:highlight w:val="none"/>
          <w14:textFill>
            <w14:solidFill>
              <w14:schemeClr w14:val="tx1"/>
            </w14:solidFill>
          </w14:textFill>
        </w:rPr>
        <w:t>成对比表，分析差异，不满足目标的进行异常提醒；</w:t>
      </w:r>
    </w:p>
    <w:p w14:paraId="3A330F91">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2BA04F8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 成本数据集成及风险管控应用</w:t>
      </w:r>
    </w:p>
    <w:p w14:paraId="44B79C9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（1）成本数据应包含合同清单、进度计划、实际进度、工程部位、核算对象、合同订单、对账单、盘点单、预结算单、目标成本、</w:t>
      </w:r>
      <w:r>
        <w:rPr>
          <w:rFonts w:hint="eastAsia" w:ascii="宋体" w:hAnsi="宋体" w:cs="宋体"/>
          <w:color w:val="000000" w:themeColor="text1"/>
          <w:szCs w:val="21"/>
          <w14:textFill>
            <w14:solidFill>
              <w14:schemeClr w14:val="tx1"/>
            </w14:solidFill>
          </w14:textFill>
        </w:rPr>
        <w:t>计划成本、实际成本、利润率等数据信息；</w:t>
      </w:r>
    </w:p>
    <w:p w14:paraId="3603278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应能根据项目实际情况，具备同时比对多种设计方案、施工方案的功能，能够给出几种方案的造价信息，并结合实际情况，给管理者一个合理的选择；同时还应能分析出项目盈利点、亏损点、风险点，并制定项目商务策划方案；</w:t>
      </w:r>
    </w:p>
    <w:p w14:paraId="505B0F4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）应具备结合工程部位、进度计划、实际进度、合同清单、合同订单、对账单、盘点单、预结算单等自动计算实际成本的功能；</w:t>
      </w:r>
    </w:p>
    <w:p w14:paraId="07464C29">
      <w:pPr>
        <w:pStyle w:val="35"/>
        <w:ind w:firstLine="420" w:firstLineChars="200"/>
      </w:pPr>
      <w:r>
        <w:rPr>
          <w:rFonts w:hint="eastAsia" w:cs="宋体"/>
        </w:rPr>
        <w:t>（</w:t>
      </w:r>
      <w:r>
        <w:rPr>
          <w:rFonts w:cs="宋体"/>
        </w:rPr>
        <w:t>4</w:t>
      </w:r>
      <w:r>
        <w:rPr>
          <w:rFonts w:hint="eastAsia" w:cs="宋体"/>
        </w:rPr>
        <w:t>）</w:t>
      </w:r>
      <w:r>
        <w:rPr>
          <w:rFonts w:hint="eastAsia"/>
        </w:rPr>
        <w:t>应能分析各工序工料机数据，整体或分项工程人材机的消耗量，分析实际消耗与定额消耗之间差异</w:t>
      </w:r>
      <w:r>
        <w:rPr>
          <w:rFonts w:hint="eastAsia" w:cs="宋体"/>
        </w:rPr>
        <w:t>；</w:t>
      </w:r>
    </w:p>
    <w:p w14:paraId="6655200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）支持按成本科目、核算对象口径将目标成本、计划成本、实际成本、预估总成本、实际产值、预估总产值、动态利润率、预估总利润率自动生成对比表，分析差异，不满足目标的进行异常提醒；</w:t>
      </w:r>
    </w:p>
    <w:p w14:paraId="3DBBA8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3576AC0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）应能复盘各项指标，为后续工程提供数据支撑。</w:t>
      </w:r>
    </w:p>
    <w:p w14:paraId="75993F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 资金数据集成及风险管控应用</w:t>
      </w:r>
    </w:p>
    <w:p w14:paraId="63CF40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（1）资金数据应包含资金计划、合同金额、应收款、应付款、已收款、已付款、现金流等数据信息；</w:t>
      </w:r>
    </w:p>
    <w:p w14:paraId="063A6D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（2）应具备结合应收款、应付款、已收款、已付款等自动生成资金收支对比表，并与资金计划对比，分析差异，不满足目标时进行异常提醒的功能；</w:t>
      </w:r>
    </w:p>
    <w:p w14:paraId="7D29FA0D">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）能够针对异常情况进行原因分析提示，支持异常情况的管理纠偏。</w:t>
      </w:r>
    </w:p>
    <w:p w14:paraId="25A6E836">
      <w:pPr>
        <w:pStyle w:val="88"/>
        <w:rPr>
          <w:rFonts w:hint="eastAsia" w:eastAsia="黑体"/>
          <w:lang w:eastAsia="zh-CN"/>
        </w:rPr>
      </w:pPr>
      <w:r>
        <w:t>5</w:t>
      </w:r>
      <w:r>
        <w:rPr>
          <w:rFonts w:hint="eastAsia"/>
        </w:rPr>
        <w:t>.</w:t>
      </w:r>
      <w:r>
        <w:t>9</w:t>
      </w:r>
      <w:r>
        <w:rPr>
          <w:rFonts w:hint="eastAsia"/>
        </w:rPr>
        <w:t>.7智慧工地数据安全</w:t>
      </w:r>
      <w:r>
        <w:rPr>
          <w:rFonts w:hint="eastAsia"/>
          <w:lang w:val="en-US" w:eastAsia="zh-CN"/>
        </w:rPr>
        <w:t>管理</w:t>
      </w:r>
    </w:p>
    <w:p w14:paraId="5399C81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auto"/>
          <w:szCs w:val="21"/>
        </w:rPr>
        <w:t>1</w:t>
      </w:r>
      <w:r>
        <w:rPr>
          <w:rFonts w:hint="eastAsia" w:ascii="宋体" w:hAnsi="宋体" w:cs="宋体"/>
          <w:color w:val="auto"/>
          <w:szCs w:val="21"/>
        </w:rPr>
        <w:t xml:space="preserve"> 平台数据的采集、传输、存储、共享、分析、处理等应用，应符合应符合我国有关法律法规</w:t>
      </w:r>
      <w:r>
        <w:rPr>
          <w:rFonts w:hint="eastAsia" w:ascii="宋体" w:hAnsi="宋体" w:cs="宋体"/>
          <w:color w:val="auto"/>
          <w:szCs w:val="21"/>
          <w:lang w:eastAsia="zh-CN"/>
        </w:rPr>
        <w:t>、</w:t>
      </w:r>
      <w:r>
        <w:rPr>
          <w:rFonts w:hint="eastAsia" w:ascii="宋体" w:hAnsi="宋体" w:cs="宋体"/>
          <w:color w:val="000000" w:themeColor="text1"/>
          <w:szCs w:val="21"/>
          <w14:textFill>
            <w14:solidFill>
              <w14:schemeClr w14:val="tx1"/>
            </w14:solidFill>
          </w14:textFill>
        </w:rPr>
        <w:t>标准规范</w:t>
      </w:r>
      <w:r>
        <w:rPr>
          <w:rFonts w:hint="eastAsia" w:ascii="宋体" w:hAnsi="宋体" w:cs="宋体"/>
          <w:color w:val="auto"/>
          <w:szCs w:val="21"/>
        </w:rPr>
        <w:t>规定，对网络数</w:t>
      </w:r>
      <w:r>
        <w:rPr>
          <w:rFonts w:hint="eastAsia" w:ascii="宋体" w:hAnsi="宋体" w:cs="宋体"/>
          <w:color w:val="000000" w:themeColor="text1"/>
          <w:szCs w:val="21"/>
          <w14:textFill>
            <w14:solidFill>
              <w14:schemeClr w14:val="tx1"/>
            </w14:solidFill>
          </w14:textFill>
        </w:rPr>
        <w:t>据实行分类分级保护，明确各类主体责任，落实网络数据安全保障措施。</w:t>
      </w:r>
    </w:p>
    <w:p w14:paraId="4E41AA3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智慧工地建设涉及到</w:t>
      </w:r>
      <w:r>
        <w:rPr>
          <w:rFonts w:hint="eastAsia" w:ascii="宋体" w:hAnsi="宋体" w:cs="宋体"/>
          <w:color w:val="auto"/>
          <w:szCs w:val="21"/>
        </w:rPr>
        <w:t>的数据收集方与数据应用方按照有关国家</w:t>
      </w:r>
      <w:r>
        <w:rPr>
          <w:rFonts w:hint="eastAsia" w:ascii="宋体" w:hAnsi="宋体" w:cs="宋体"/>
          <w:color w:val="000000" w:themeColor="text1"/>
          <w:szCs w:val="21"/>
          <w14:textFill>
            <w14:solidFill>
              <w14:schemeClr w14:val="tx1"/>
            </w14:solidFill>
          </w14:textFill>
        </w:rPr>
        <w:t>法律法规、标准规范的规定，从多个维度规范数据的各类处理和使用活动，确保数据在全生命周期中的安全管理。</w:t>
      </w:r>
    </w:p>
    <w:p w14:paraId="5D1A4DC8">
      <w:pPr>
        <w:spacing w:line="360" w:lineRule="auto"/>
        <w:ind w:firstLine="420" w:firstLineChars="200"/>
        <w:rPr>
          <w:rFonts w:ascii="宋体" w:hAnsi="宋体" w:cs="宋体"/>
          <w:color w:val="auto"/>
          <w:szCs w:val="21"/>
        </w:rPr>
      </w:pPr>
      <w:r>
        <w:rPr>
          <w:rFonts w:ascii="宋体" w:hAnsi="宋体" w:cs="宋体"/>
          <w:color w:val="auto"/>
          <w:szCs w:val="21"/>
        </w:rPr>
        <w:t xml:space="preserve">3 </w:t>
      </w:r>
      <w:r>
        <w:rPr>
          <w:rFonts w:hint="eastAsia" w:ascii="宋体" w:hAnsi="宋体" w:cs="宋体"/>
          <w:color w:val="auto"/>
          <w:szCs w:val="21"/>
        </w:rPr>
        <w:t>工地智慧系统的所有者应建立数据安全管理机制，组织数据安全教育培训，采取适当的技术保护措施，确保个人信息、重要数据等敏感信息的安全。</w:t>
      </w:r>
    </w:p>
    <w:p w14:paraId="693089AF">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szCs w:val="21"/>
          <w14:textFill>
            <w14:solidFill>
              <w14:schemeClr w14:val="tx1"/>
            </w14:solidFill>
          </w14:textFill>
        </w:rPr>
        <w:t>工地智慧系统的第三方运维单位应提供符合有关国家法律法规、标准规范规定的用户账号安全、数据访问安全、数据存储安全、应用安全及</w:t>
      </w:r>
      <w:bookmarkStart w:id="115" w:name="OLE_LINK2"/>
      <w:bookmarkStart w:id="116" w:name="OLE_LINK1"/>
      <w:r>
        <w:rPr>
          <w:rFonts w:hint="eastAsia" w:ascii="宋体" w:hAnsi="宋体" w:cs="宋体"/>
          <w:color w:val="000000" w:themeColor="text1"/>
          <w:szCs w:val="21"/>
          <w14:textFill>
            <w14:solidFill>
              <w14:schemeClr w14:val="tx1"/>
            </w14:solidFill>
          </w14:textFill>
        </w:rPr>
        <w:t>物理硬件部署安全</w:t>
      </w:r>
      <w:bookmarkEnd w:id="115"/>
      <w:bookmarkEnd w:id="116"/>
      <w:r>
        <w:rPr>
          <w:rFonts w:hint="eastAsia" w:ascii="宋体" w:hAnsi="宋体" w:cs="宋体"/>
          <w:color w:val="000000" w:themeColor="text1"/>
          <w:szCs w:val="21"/>
          <w14:textFill>
            <w14:solidFill>
              <w14:schemeClr w14:val="tx1"/>
            </w14:solidFill>
          </w14:textFill>
        </w:rPr>
        <w:t>等安全架构和措施。</w:t>
      </w:r>
    </w:p>
    <w:p w14:paraId="2A90E4F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（1）用户账号安全应包括</w:t>
      </w:r>
      <w:r>
        <w:rPr>
          <w:rStyle w:val="92"/>
          <w:rFonts w:hint="default"/>
        </w:rPr>
        <w:t>身份认证、访问授权、账号管理、应用权限管理、操作审计等。</w:t>
      </w:r>
    </w:p>
    <w:p w14:paraId="7A66B35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）访问安全应包括WAF防火墙、用户验证、网络控制、</w:t>
      </w:r>
      <w:r>
        <w:rPr>
          <w:rFonts w:ascii="宋体" w:hAnsi="宋体" w:cs="宋体"/>
          <w:color w:val="000000" w:themeColor="text1"/>
          <w:szCs w:val="21"/>
          <w14:textFill>
            <w14:solidFill>
              <w14:schemeClr w14:val="tx1"/>
            </w14:solidFill>
          </w14:textFill>
        </w:rPr>
        <w:t>安全协议</w:t>
      </w:r>
      <w:r>
        <w:rPr>
          <w:rFonts w:hint="eastAsia" w:ascii="宋体" w:hAnsi="宋体" w:cs="宋体"/>
          <w:color w:val="000000" w:themeColor="text1"/>
          <w:szCs w:val="21"/>
          <w14:textFill>
            <w14:solidFill>
              <w14:schemeClr w14:val="tx1"/>
            </w14:solidFill>
          </w14:textFill>
        </w:rPr>
        <w:t>等。</w:t>
      </w:r>
    </w:p>
    <w:p w14:paraId="1755091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）数据存储安全应包括数据分级保护方案、数据加密、数据遮蔽、数据备份等。</w:t>
      </w:r>
    </w:p>
    <w:p w14:paraId="56905C5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）应用安全应包括</w:t>
      </w:r>
      <w:r>
        <w:rPr>
          <w:rStyle w:val="92"/>
          <w:rFonts w:hint="default"/>
        </w:rPr>
        <w:t>漏洞扫描、漏洞修复、网络安全、租户数据隔离等。</w:t>
      </w:r>
    </w:p>
    <w:p w14:paraId="625D663D">
      <w:pPr>
        <w:spacing w:line="360" w:lineRule="auto"/>
        <w:ind w:firstLine="420" w:firstLineChars="200"/>
        <w:rPr>
          <w:rFonts w:ascii="宋体" w:hAnsi="宋体" w:cs="宋体"/>
          <w:color w:val="auto"/>
          <w:szCs w:val="21"/>
        </w:rPr>
      </w:pPr>
      <w:r>
        <w:rPr>
          <w:rFonts w:hint="eastAsia" w:ascii="宋体" w:hAnsi="宋体" w:cs="宋体"/>
          <w:color w:val="auto"/>
          <w:szCs w:val="21"/>
        </w:rPr>
        <w:t>（5）物理硬件部署安全应包括服务器、网络设施、数据存储设备等硬件设备的用电、防火、防潮等安全。</w:t>
      </w:r>
    </w:p>
    <w:p w14:paraId="1DF7FAD0">
      <w:pPr>
        <w:spacing w:line="360" w:lineRule="auto"/>
        <w:ind w:firstLine="420" w:firstLineChars="200"/>
        <w:rPr>
          <w:rFonts w:ascii="宋体" w:hAnsi="宋体" w:cs="宋体"/>
          <w:color w:val="FF0000"/>
          <w:szCs w:val="21"/>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D77F">
    <w:pPr>
      <w:pStyle w:val="16"/>
      <w:jc w:val="center"/>
    </w:pPr>
  </w:p>
  <w:p w14:paraId="29ABD7F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105C">
    <w:pPr>
      <w:pStyle w:val="50"/>
      <w:ind w:right="630" w:firstLine="360"/>
      <w:rPr>
        <w:rStyle w:val="3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AE39">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1AAE39">
                    <w:pPr>
                      <w:pStyle w:val="16"/>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22250" cy="1828800"/>
              <wp:effectExtent l="0" t="0" r="6985" b="6350"/>
              <wp:wrapNone/>
              <wp:docPr id="12" name="文本框 12"/>
              <wp:cNvGraphicFramePr/>
              <a:graphic xmlns:a="http://schemas.openxmlformats.org/drawingml/2006/main">
                <a:graphicData uri="http://schemas.microsoft.com/office/word/2010/wordprocessingShape">
                  <wps:wsp>
                    <wps:cNvSpPr txBox="1"/>
                    <wps:spPr>
                      <a:xfrm>
                        <a:off x="0" y="0"/>
                        <a:ext cx="2219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C4534">
                          <w:pPr>
                            <w:pStyle w:val="16"/>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5pt;mso-position-horizontal:right;mso-position-horizontal-relative:margin;z-index:251659264;mso-width-relative:page;mso-height-relative:page;" filled="f" stroked="f" coordsize="21600,21600" o:gfxdata="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nF2F0wAAAAQBAAAPAAAAAAAAAAEAIAAAACIAAABkcnMvZG93bnJldi54bWxQSwEC&#10;FAAUAAAACACHTuJA6VI1QDICAABYBAAADgAAAAAAAAABACAAAAAiAQAAZHJzL2Uyb0RvYy54bWxQ&#10;SwUGAAAAAAYABgBZAQAAxgUAAAAA&#10;">
              <v:fill on="f" focussize="0,0"/>
              <v:stroke on="f" weight="0.5pt"/>
              <v:imagedata o:title=""/>
              <o:lock v:ext="edit" aspectratio="f"/>
              <v:textbox inset="0mm,0mm,0mm,0mm" style="mso-fit-shape-to-text:t;">
                <w:txbxContent>
                  <w:p w14:paraId="0BCC4534">
                    <w:pPr>
                      <w:pStyle w:val="16"/>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3D64">
    <w:pPr>
      <w:pStyle w:val="1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44B9F">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FC44B9F">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EA9E">
    <w:pPr>
      <w:pStyle w:val="50"/>
      <w:ind w:right="630" w:firstLine="360"/>
      <w:rPr>
        <w:rStyle w:val="3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B397">
                          <w:pPr>
                            <w:pStyle w:val="1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B3B397">
                    <w:pPr>
                      <w:pStyle w:val="16"/>
                    </w:pPr>
                    <w:r>
                      <w:fldChar w:fldCharType="begin"/>
                    </w:r>
                    <w:r>
                      <w:instrText xml:space="preserve"> PAGE  \* MERGEFORMAT </w:instrText>
                    </w:r>
                    <w:r>
                      <w:fldChar w:fldCharType="separate"/>
                    </w:r>
                    <w:r>
                      <w:t>III</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2225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19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116E2">
                          <w:pPr>
                            <w:pStyle w:val="16"/>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5pt;mso-position-horizontal:right;mso-position-horizontal-relative:margin;z-index:251662336;mso-width-relative:page;mso-height-relative:page;" filled="f" stroked="f" coordsize="21600,21600" o:gfxdata="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nF2F0wAAAAQBAAAPAAAAAAAAAAEAIAAAACIAAABkcnMvZG93bnJldi54bWxQSwEC&#10;FAAUAAAACACHTuJANbsF7jICAABWBAAADgAAAAAAAAABACAAAAAiAQAAZHJzL2Uyb0RvYy54bWxQ&#10;SwUGAAAAAAYABgBZAQAAxgUAAAAA&#10;">
              <v:fill on="f" focussize="0,0"/>
              <v:stroke on="f" weight="0.5pt"/>
              <v:imagedata o:title=""/>
              <o:lock v:ext="edit" aspectratio="f"/>
              <v:textbox inset="0mm,0mm,0mm,0mm" style="mso-fit-shape-to-text:t;">
                <w:txbxContent>
                  <w:p w14:paraId="440116E2">
                    <w:pPr>
                      <w:pStyle w:val="16"/>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F702">
    <w:pPr>
      <w:pStyle w:val="16"/>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1F3B6">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A31F3B6">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5A1B">
    <w:pPr>
      <w:pStyle w:val="50"/>
      <w:ind w:right="630" w:firstLine="360"/>
      <w:rPr>
        <w:rStyle w:val="3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B18E4">
                          <w:pPr>
                            <w:pStyle w:val="16"/>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5AB18E4">
                    <w:pPr>
                      <w:pStyle w:val="16"/>
                    </w:pPr>
                    <w:r>
                      <w:fldChar w:fldCharType="begin"/>
                    </w:r>
                    <w:r>
                      <w:instrText xml:space="preserve"> PAGE  \* MERGEFORMAT </w:instrText>
                    </w:r>
                    <w:r>
                      <w:fldChar w:fldCharType="separate"/>
                    </w:r>
                    <w:r>
                      <w:t>V</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222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19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F398">
                          <w:pPr>
                            <w:pStyle w:val="16"/>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5pt;mso-position-horizontal:right;mso-position-horizontal-relative:margin;z-index:251661312;mso-width-relative:page;mso-height-relative:page;" filled="f" stroked="f" coordsize="21600,21600" o:gfxdata="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acXYXTAAAABAEAAA8AAAAAAAAAAQAgAAAAIgAAAGRycy9kb3ducmV2LnhtbFBLAQIU&#10;ABQAAAAIAIdO4kApmBG0MQIAAFYEAAAOAAAAAAAAAAEAIAAAACIBAABkcnMvZTJvRG9jLnhtbFBL&#10;BQYAAAAABgAGAFkBAADFBQAAAAA=&#10;">
              <v:fill on="f" focussize="0,0"/>
              <v:stroke on="f" weight="0.5pt"/>
              <v:imagedata o:title=""/>
              <o:lock v:ext="edit" aspectratio="f"/>
              <v:textbox inset="0mm,0mm,0mm,0mm" style="mso-fit-shape-to-text:t;">
                <w:txbxContent>
                  <w:p w14:paraId="1D34F398">
                    <w:pPr>
                      <w:pStyle w:val="16"/>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E737">
    <w:pPr>
      <w:pStyle w:val="50"/>
      <w:ind w:right="630" w:firstLine="360"/>
      <w:rPr>
        <w:rStyle w:val="3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32E98">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2032E98">
                    <w:pPr>
                      <w:pStyle w:val="16"/>
                    </w:pPr>
                    <w:r>
                      <w:fldChar w:fldCharType="begin"/>
                    </w:r>
                    <w:r>
                      <w:instrText xml:space="preserve"> PAGE  \* MERGEFORMAT </w:instrText>
                    </w:r>
                    <w:r>
                      <w:fldChar w:fldCharType="separate"/>
                    </w:r>
                    <w:r>
                      <w:t>49</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2222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19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37A3D">
                          <w:pPr>
                            <w:pStyle w:val="16"/>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5pt;mso-position-horizontal:right;mso-position-horizontal-relative:margin;z-index:251665408;mso-width-relative:page;mso-height-relative:page;" filled="f" stroked="f" coordsize="21600,21600" o:gfxdata="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pxdhdMAAAAEAQAADwAAAAAAAAABACAAAAAiAAAAZHJzL2Rvd25yZXYueG1sUEsB&#10;AhQAFAAAAAgAh07iQIal3iszAgAAWAQAAA4AAAAAAAAAAQAgAAAAIgEAAGRycy9lMm9Eb2MueG1s&#10;UEsFBgAAAAAGAAYAWQEAAMcFAAAAAA==&#10;">
              <v:fill on="f" focussize="0,0"/>
              <v:stroke on="f" weight="0.5pt"/>
              <v:imagedata o:title=""/>
              <o:lock v:ext="edit" aspectratio="f"/>
              <v:textbox inset="0mm,0mm,0mm,0mm" style="mso-fit-shape-to-text:t;">
                <w:txbxContent>
                  <w:p w14:paraId="09937A3D">
                    <w:pPr>
                      <w:pStyle w:val="16"/>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D485">
    <w:pPr>
      <w:pStyle w:val="49"/>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86"/>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657D3FBC"/>
    <w:multiLevelType w:val="multilevel"/>
    <w:tmpl w:val="657D3FBC"/>
    <w:lvl w:ilvl="0" w:tentative="0">
      <w:start w:val="1"/>
      <w:numFmt w:val="upperLetter"/>
      <w:pStyle w:val="62"/>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74D90CB6"/>
    <w:multiLevelType w:val="multilevel"/>
    <w:tmpl w:val="74D90CB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N2VjODBjNGMwZWE1ZTlkODcwNjY4YzE5Y2NkN2IifQ=="/>
  </w:docVars>
  <w:rsids>
    <w:rsidRoot w:val="00345A56"/>
    <w:rsid w:val="000033C8"/>
    <w:rsid w:val="0001577C"/>
    <w:rsid w:val="000436CF"/>
    <w:rsid w:val="00053F61"/>
    <w:rsid w:val="00056BEC"/>
    <w:rsid w:val="0007232A"/>
    <w:rsid w:val="00072E1A"/>
    <w:rsid w:val="00074D4A"/>
    <w:rsid w:val="000A0A7A"/>
    <w:rsid w:val="000B68E3"/>
    <w:rsid w:val="000C112F"/>
    <w:rsid w:val="000E7F6D"/>
    <w:rsid w:val="001003CD"/>
    <w:rsid w:val="00100C87"/>
    <w:rsid w:val="00101029"/>
    <w:rsid w:val="001066EA"/>
    <w:rsid w:val="00107841"/>
    <w:rsid w:val="0013364B"/>
    <w:rsid w:val="00153F9F"/>
    <w:rsid w:val="0017706A"/>
    <w:rsid w:val="0018252B"/>
    <w:rsid w:val="001A071B"/>
    <w:rsid w:val="001B0E37"/>
    <w:rsid w:val="001B535E"/>
    <w:rsid w:val="001C616E"/>
    <w:rsid w:val="001F7A12"/>
    <w:rsid w:val="002057DE"/>
    <w:rsid w:val="00211C55"/>
    <w:rsid w:val="00224F49"/>
    <w:rsid w:val="00254DC4"/>
    <w:rsid w:val="00266A93"/>
    <w:rsid w:val="00276D6B"/>
    <w:rsid w:val="00287F0D"/>
    <w:rsid w:val="0029338B"/>
    <w:rsid w:val="002A2A49"/>
    <w:rsid w:val="002B61CB"/>
    <w:rsid w:val="002F1EE0"/>
    <w:rsid w:val="002F2BD7"/>
    <w:rsid w:val="002F495A"/>
    <w:rsid w:val="002F5628"/>
    <w:rsid w:val="00336D25"/>
    <w:rsid w:val="003418BB"/>
    <w:rsid w:val="00343A1A"/>
    <w:rsid w:val="00345A56"/>
    <w:rsid w:val="00353CD2"/>
    <w:rsid w:val="00356932"/>
    <w:rsid w:val="00375D7E"/>
    <w:rsid w:val="00376A45"/>
    <w:rsid w:val="003933C6"/>
    <w:rsid w:val="00393913"/>
    <w:rsid w:val="003B060F"/>
    <w:rsid w:val="003B7007"/>
    <w:rsid w:val="003D3E93"/>
    <w:rsid w:val="00431053"/>
    <w:rsid w:val="004457CC"/>
    <w:rsid w:val="00447970"/>
    <w:rsid w:val="004608AA"/>
    <w:rsid w:val="00476AE2"/>
    <w:rsid w:val="00490FF2"/>
    <w:rsid w:val="004B4529"/>
    <w:rsid w:val="004B5BAF"/>
    <w:rsid w:val="004E7407"/>
    <w:rsid w:val="004F4B24"/>
    <w:rsid w:val="00506170"/>
    <w:rsid w:val="00507A37"/>
    <w:rsid w:val="00522A1B"/>
    <w:rsid w:val="00527F3C"/>
    <w:rsid w:val="005376DF"/>
    <w:rsid w:val="005654E8"/>
    <w:rsid w:val="00571FE3"/>
    <w:rsid w:val="00575A74"/>
    <w:rsid w:val="00591D51"/>
    <w:rsid w:val="00593B3F"/>
    <w:rsid w:val="005C5FCB"/>
    <w:rsid w:val="005D3437"/>
    <w:rsid w:val="00613834"/>
    <w:rsid w:val="00614893"/>
    <w:rsid w:val="006263EF"/>
    <w:rsid w:val="0062650F"/>
    <w:rsid w:val="0063293D"/>
    <w:rsid w:val="0063529B"/>
    <w:rsid w:val="00695752"/>
    <w:rsid w:val="00695F79"/>
    <w:rsid w:val="006A676F"/>
    <w:rsid w:val="006A7799"/>
    <w:rsid w:val="006B2BD0"/>
    <w:rsid w:val="006C15AC"/>
    <w:rsid w:val="006C2E62"/>
    <w:rsid w:val="006D0ED9"/>
    <w:rsid w:val="00733B12"/>
    <w:rsid w:val="00736A43"/>
    <w:rsid w:val="0074292E"/>
    <w:rsid w:val="00760172"/>
    <w:rsid w:val="0076457D"/>
    <w:rsid w:val="007815B8"/>
    <w:rsid w:val="007A0B2E"/>
    <w:rsid w:val="007A29AE"/>
    <w:rsid w:val="007E7DB5"/>
    <w:rsid w:val="007F6E22"/>
    <w:rsid w:val="008100DC"/>
    <w:rsid w:val="00810911"/>
    <w:rsid w:val="00815536"/>
    <w:rsid w:val="00826403"/>
    <w:rsid w:val="00841A73"/>
    <w:rsid w:val="00852226"/>
    <w:rsid w:val="0087557C"/>
    <w:rsid w:val="0088475B"/>
    <w:rsid w:val="008A1DA2"/>
    <w:rsid w:val="008C21B7"/>
    <w:rsid w:val="008E2E48"/>
    <w:rsid w:val="008E7AD5"/>
    <w:rsid w:val="00904600"/>
    <w:rsid w:val="009101C2"/>
    <w:rsid w:val="009205AF"/>
    <w:rsid w:val="00965A06"/>
    <w:rsid w:val="009775AD"/>
    <w:rsid w:val="0098394D"/>
    <w:rsid w:val="00987810"/>
    <w:rsid w:val="009970C4"/>
    <w:rsid w:val="009B003B"/>
    <w:rsid w:val="009B47A2"/>
    <w:rsid w:val="00A10B80"/>
    <w:rsid w:val="00A15052"/>
    <w:rsid w:val="00A302D2"/>
    <w:rsid w:val="00A419B7"/>
    <w:rsid w:val="00A44DB9"/>
    <w:rsid w:val="00A45CCA"/>
    <w:rsid w:val="00A45E0F"/>
    <w:rsid w:val="00A53F4E"/>
    <w:rsid w:val="00A93273"/>
    <w:rsid w:val="00AB3006"/>
    <w:rsid w:val="00AB310F"/>
    <w:rsid w:val="00AC1822"/>
    <w:rsid w:val="00AC7CFF"/>
    <w:rsid w:val="00B01F62"/>
    <w:rsid w:val="00B40107"/>
    <w:rsid w:val="00B43E12"/>
    <w:rsid w:val="00B5147D"/>
    <w:rsid w:val="00B65327"/>
    <w:rsid w:val="00B91C98"/>
    <w:rsid w:val="00B97034"/>
    <w:rsid w:val="00BC001A"/>
    <w:rsid w:val="00BF09BF"/>
    <w:rsid w:val="00BF1443"/>
    <w:rsid w:val="00C07CB9"/>
    <w:rsid w:val="00C143DE"/>
    <w:rsid w:val="00C311F7"/>
    <w:rsid w:val="00C34B90"/>
    <w:rsid w:val="00C363EE"/>
    <w:rsid w:val="00C36E1C"/>
    <w:rsid w:val="00C400D9"/>
    <w:rsid w:val="00C40AFF"/>
    <w:rsid w:val="00C57E0A"/>
    <w:rsid w:val="00C63BC7"/>
    <w:rsid w:val="00C70098"/>
    <w:rsid w:val="00C706ED"/>
    <w:rsid w:val="00C7437F"/>
    <w:rsid w:val="00CA1EF2"/>
    <w:rsid w:val="00CA3204"/>
    <w:rsid w:val="00CA6091"/>
    <w:rsid w:val="00CB176C"/>
    <w:rsid w:val="00CC5451"/>
    <w:rsid w:val="00CC7D65"/>
    <w:rsid w:val="00CD7CED"/>
    <w:rsid w:val="00CF0A09"/>
    <w:rsid w:val="00CF25DE"/>
    <w:rsid w:val="00D433B0"/>
    <w:rsid w:val="00D471D2"/>
    <w:rsid w:val="00D623ED"/>
    <w:rsid w:val="00D937B8"/>
    <w:rsid w:val="00D95CC4"/>
    <w:rsid w:val="00DA2883"/>
    <w:rsid w:val="00DC72F0"/>
    <w:rsid w:val="00DD644D"/>
    <w:rsid w:val="00DD7910"/>
    <w:rsid w:val="00DE7C98"/>
    <w:rsid w:val="00DF00FA"/>
    <w:rsid w:val="00E31BD8"/>
    <w:rsid w:val="00E35169"/>
    <w:rsid w:val="00E53163"/>
    <w:rsid w:val="00E75F19"/>
    <w:rsid w:val="00E91C7F"/>
    <w:rsid w:val="00E933A8"/>
    <w:rsid w:val="00EB0B49"/>
    <w:rsid w:val="00EE6B3D"/>
    <w:rsid w:val="00EF70DD"/>
    <w:rsid w:val="00F3781D"/>
    <w:rsid w:val="00F47E28"/>
    <w:rsid w:val="00F52496"/>
    <w:rsid w:val="00F533FF"/>
    <w:rsid w:val="00F572B9"/>
    <w:rsid w:val="00F60659"/>
    <w:rsid w:val="00F9292F"/>
    <w:rsid w:val="00FA3427"/>
    <w:rsid w:val="00FA3F91"/>
    <w:rsid w:val="00FA68BD"/>
    <w:rsid w:val="00FB7AF0"/>
    <w:rsid w:val="00FC6D7A"/>
    <w:rsid w:val="00FD46E8"/>
    <w:rsid w:val="00FD4755"/>
    <w:rsid w:val="00FE0AFD"/>
    <w:rsid w:val="014E5569"/>
    <w:rsid w:val="02AF5277"/>
    <w:rsid w:val="05171224"/>
    <w:rsid w:val="05243941"/>
    <w:rsid w:val="06B82773"/>
    <w:rsid w:val="07017C0B"/>
    <w:rsid w:val="08CE2E5B"/>
    <w:rsid w:val="09AF2373"/>
    <w:rsid w:val="0A750537"/>
    <w:rsid w:val="0C3A0606"/>
    <w:rsid w:val="0D827898"/>
    <w:rsid w:val="0E4A4641"/>
    <w:rsid w:val="0E682AF0"/>
    <w:rsid w:val="0E6D0107"/>
    <w:rsid w:val="0F1F4F69"/>
    <w:rsid w:val="0F40334D"/>
    <w:rsid w:val="10EA3C90"/>
    <w:rsid w:val="114D01EF"/>
    <w:rsid w:val="11AC6129"/>
    <w:rsid w:val="11D10EFF"/>
    <w:rsid w:val="12605D42"/>
    <w:rsid w:val="13606BDD"/>
    <w:rsid w:val="15C164C0"/>
    <w:rsid w:val="19662E18"/>
    <w:rsid w:val="1C252021"/>
    <w:rsid w:val="1C9D2940"/>
    <w:rsid w:val="1D4B36FE"/>
    <w:rsid w:val="1E462B84"/>
    <w:rsid w:val="1E63196B"/>
    <w:rsid w:val="1EC73863"/>
    <w:rsid w:val="1F1C0586"/>
    <w:rsid w:val="1F473E90"/>
    <w:rsid w:val="20593B53"/>
    <w:rsid w:val="20915761"/>
    <w:rsid w:val="221413F8"/>
    <w:rsid w:val="2301625D"/>
    <w:rsid w:val="23F944BF"/>
    <w:rsid w:val="24FD4C2F"/>
    <w:rsid w:val="25B20A9C"/>
    <w:rsid w:val="26834513"/>
    <w:rsid w:val="269C7383"/>
    <w:rsid w:val="270E26BE"/>
    <w:rsid w:val="27723650"/>
    <w:rsid w:val="27F26D7C"/>
    <w:rsid w:val="27F31225"/>
    <w:rsid w:val="28667C49"/>
    <w:rsid w:val="2C6721E1"/>
    <w:rsid w:val="2D7A3257"/>
    <w:rsid w:val="2E8E096D"/>
    <w:rsid w:val="2F0E300B"/>
    <w:rsid w:val="2F3445FD"/>
    <w:rsid w:val="304F36B8"/>
    <w:rsid w:val="305E56A9"/>
    <w:rsid w:val="30963095"/>
    <w:rsid w:val="331F7372"/>
    <w:rsid w:val="33242BDA"/>
    <w:rsid w:val="342429E7"/>
    <w:rsid w:val="347D07F4"/>
    <w:rsid w:val="349522D7"/>
    <w:rsid w:val="34DA79F4"/>
    <w:rsid w:val="356E038F"/>
    <w:rsid w:val="35E04F11"/>
    <w:rsid w:val="36AA1648"/>
    <w:rsid w:val="3E224C7C"/>
    <w:rsid w:val="3E300685"/>
    <w:rsid w:val="3FAB48FD"/>
    <w:rsid w:val="42D00689"/>
    <w:rsid w:val="43B808F8"/>
    <w:rsid w:val="43ED71FE"/>
    <w:rsid w:val="446E63AB"/>
    <w:rsid w:val="45DC5978"/>
    <w:rsid w:val="461C6703"/>
    <w:rsid w:val="46472A10"/>
    <w:rsid w:val="46D20962"/>
    <w:rsid w:val="46ED44B6"/>
    <w:rsid w:val="48846CD9"/>
    <w:rsid w:val="48A21B47"/>
    <w:rsid w:val="48C52312"/>
    <w:rsid w:val="493140A5"/>
    <w:rsid w:val="49596D9C"/>
    <w:rsid w:val="4A763F73"/>
    <w:rsid w:val="4B74141B"/>
    <w:rsid w:val="4D671BE9"/>
    <w:rsid w:val="4E135BAA"/>
    <w:rsid w:val="4F294A17"/>
    <w:rsid w:val="512457AF"/>
    <w:rsid w:val="51907961"/>
    <w:rsid w:val="51CB0999"/>
    <w:rsid w:val="521D33C6"/>
    <w:rsid w:val="532D4A8B"/>
    <w:rsid w:val="5367649F"/>
    <w:rsid w:val="55915A96"/>
    <w:rsid w:val="56310FE7"/>
    <w:rsid w:val="57C02622"/>
    <w:rsid w:val="58FC2D91"/>
    <w:rsid w:val="59C53F20"/>
    <w:rsid w:val="5B8C1E41"/>
    <w:rsid w:val="5BF75011"/>
    <w:rsid w:val="5D323FC2"/>
    <w:rsid w:val="5D436103"/>
    <w:rsid w:val="5D5201C0"/>
    <w:rsid w:val="5E9F2E7D"/>
    <w:rsid w:val="5F3D27AA"/>
    <w:rsid w:val="5FDC5F0C"/>
    <w:rsid w:val="60036C78"/>
    <w:rsid w:val="600A4BC9"/>
    <w:rsid w:val="60DF60FA"/>
    <w:rsid w:val="60FD0443"/>
    <w:rsid w:val="61C6117D"/>
    <w:rsid w:val="61E7377D"/>
    <w:rsid w:val="64FE29DC"/>
    <w:rsid w:val="666920D7"/>
    <w:rsid w:val="66B71094"/>
    <w:rsid w:val="67E91721"/>
    <w:rsid w:val="680E0627"/>
    <w:rsid w:val="6870115B"/>
    <w:rsid w:val="688D7AC5"/>
    <w:rsid w:val="69E421A0"/>
    <w:rsid w:val="6A3C2E0C"/>
    <w:rsid w:val="6AED2C53"/>
    <w:rsid w:val="6BEA49AA"/>
    <w:rsid w:val="6D5310B6"/>
    <w:rsid w:val="6D760C73"/>
    <w:rsid w:val="700C41FF"/>
    <w:rsid w:val="71B3545C"/>
    <w:rsid w:val="72034EFD"/>
    <w:rsid w:val="735E4456"/>
    <w:rsid w:val="73E10674"/>
    <w:rsid w:val="753763A5"/>
    <w:rsid w:val="757B6319"/>
    <w:rsid w:val="77410C87"/>
    <w:rsid w:val="78341CC8"/>
    <w:rsid w:val="78931961"/>
    <w:rsid w:val="7A6404FD"/>
    <w:rsid w:val="7A794B87"/>
    <w:rsid w:val="7AFF52F8"/>
    <w:rsid w:val="7B230514"/>
    <w:rsid w:val="7CEF1130"/>
    <w:rsid w:val="7D52346D"/>
    <w:rsid w:val="7E75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3"/>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semiHidden/>
    <w:unhideWhenUsed/>
    <w:qFormat/>
    <w:uiPriority w:val="0"/>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caption"/>
    <w:basedOn w:val="1"/>
    <w:next w:val="1"/>
    <w:qFormat/>
    <w:uiPriority w:val="35"/>
    <w:pPr>
      <w:spacing w:before="152" w:after="160"/>
    </w:pPr>
    <w:rPr>
      <w:rFonts w:ascii="Arial" w:hAnsi="Arial" w:eastAsia="黑体" w:cs="Arial"/>
      <w:sz w:val="20"/>
      <w:szCs w:val="20"/>
    </w:rPr>
  </w:style>
  <w:style w:type="paragraph" w:styleId="8">
    <w:name w:val="annotation text"/>
    <w:basedOn w:val="1"/>
    <w:link w:val="55"/>
    <w:qFormat/>
    <w:uiPriority w:val="0"/>
    <w:pPr>
      <w:jc w:val="left"/>
    </w:pPr>
  </w:style>
  <w:style w:type="paragraph" w:styleId="9">
    <w:name w:val="Body Text"/>
    <w:basedOn w:val="1"/>
    <w:qFormat/>
    <w:uiPriority w:val="1"/>
    <w:rPr>
      <w:szCs w:val="21"/>
    </w:rPr>
  </w:style>
  <w:style w:type="paragraph" w:styleId="10">
    <w:name w:val="toc 5"/>
    <w:basedOn w:val="1"/>
    <w:next w:val="1"/>
    <w:unhideWhenUsed/>
    <w:qFormat/>
    <w:uiPriority w:val="39"/>
    <w:pPr>
      <w:ind w:left="1680" w:leftChars="800"/>
    </w:pPr>
    <w:rPr>
      <w:rFonts w:asciiTheme="minorHAnsi" w:hAnsiTheme="minorHAnsi" w:eastAsiaTheme="minorEastAsia" w:cstheme="minorBidi"/>
    </w:rPr>
  </w:style>
  <w:style w:type="paragraph" w:styleId="11">
    <w:name w:val="toc 3"/>
    <w:basedOn w:val="1"/>
    <w:next w:val="1"/>
    <w:qFormat/>
    <w:uiPriority w:val="39"/>
    <w:pPr>
      <w:ind w:left="840" w:leftChars="400"/>
    </w:pPr>
  </w:style>
  <w:style w:type="paragraph" w:styleId="12">
    <w:name w:val="toc 8"/>
    <w:basedOn w:val="1"/>
    <w:next w:val="1"/>
    <w:unhideWhenUsed/>
    <w:qFormat/>
    <w:uiPriority w:val="39"/>
    <w:pPr>
      <w:ind w:left="2940" w:leftChars="1400"/>
    </w:pPr>
    <w:rPr>
      <w:rFonts w:asciiTheme="minorHAnsi" w:hAnsiTheme="minorHAnsi" w:eastAsiaTheme="minorEastAsia" w:cstheme="minorBidi"/>
    </w:rPr>
  </w:style>
  <w:style w:type="paragraph" w:styleId="13">
    <w:name w:val="Date"/>
    <w:basedOn w:val="1"/>
    <w:next w:val="1"/>
    <w:link w:val="91"/>
    <w:semiHidden/>
    <w:unhideWhenUsed/>
    <w:qFormat/>
    <w:uiPriority w:val="99"/>
    <w:pPr>
      <w:ind w:left="100" w:leftChars="2500"/>
    </w:pPr>
  </w:style>
  <w:style w:type="paragraph" w:styleId="14">
    <w:name w:val="Body Text Indent 2"/>
    <w:basedOn w:val="1"/>
    <w:next w:val="1"/>
    <w:link w:val="56"/>
    <w:qFormat/>
    <w:uiPriority w:val="0"/>
    <w:pPr>
      <w:spacing w:after="120"/>
      <w:ind w:left="420" w:leftChars="200"/>
    </w:pPr>
  </w:style>
  <w:style w:type="paragraph" w:styleId="15">
    <w:name w:val="Balloon Text"/>
    <w:basedOn w:val="1"/>
    <w:link w:val="57"/>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5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pPr>
    <w:rPr>
      <w:caps/>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qFormat/>
    <w:uiPriority w:val="39"/>
    <w:pPr>
      <w:ind w:left="210"/>
      <w:jc w:val="left"/>
    </w:pPr>
    <w:rPr>
      <w:rFonts w:ascii="等线" w:eastAsia="等线"/>
      <w:smallCaps/>
      <w:sz w:val="20"/>
      <w:szCs w:val="20"/>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99"/>
    <w:rPr>
      <w:sz w:val="24"/>
      <w:szCs w:val="24"/>
    </w:rPr>
  </w:style>
  <w:style w:type="paragraph" w:styleId="24">
    <w:name w:val="Title"/>
    <w:basedOn w:val="1"/>
    <w:next w:val="1"/>
    <w:qFormat/>
    <w:uiPriority w:val="0"/>
    <w:pPr>
      <w:spacing w:before="100" w:beforeLines="100" w:after="100" w:afterLines="100"/>
      <w:jc w:val="center"/>
      <w:outlineLvl w:val="0"/>
    </w:pPr>
    <w:rPr>
      <w:rFonts w:ascii="黑体" w:hAnsi="黑体" w:eastAsia="黑体"/>
      <w:bCs/>
      <w:sz w:val="44"/>
      <w:szCs w:val="32"/>
    </w:rPr>
  </w:style>
  <w:style w:type="paragraph" w:styleId="25">
    <w:name w:val="annotation subject"/>
    <w:basedOn w:val="8"/>
    <w:next w:val="8"/>
    <w:link w:val="59"/>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22"/>
    <w:rPr>
      <w:b/>
    </w:rPr>
  </w:style>
  <w:style w:type="character" w:styleId="30">
    <w:name w:val="page number"/>
    <w:qFormat/>
    <w:uiPriority w:val="0"/>
    <w:rPr>
      <w:rFonts w:ascii="Times New Roman" w:hAnsi="Times New Roman" w:eastAsia="宋体"/>
      <w:sz w:val="18"/>
    </w:rPr>
  </w:style>
  <w:style w:type="character" w:styleId="31">
    <w:name w:val="FollowedHyperlink"/>
    <w:basedOn w:val="28"/>
    <w:qFormat/>
    <w:uiPriority w:val="0"/>
    <w:rPr>
      <w:color w:val="800080"/>
      <w:u w:val="single"/>
    </w:rPr>
  </w:style>
  <w:style w:type="character" w:styleId="32">
    <w:name w:val="Hyperlink"/>
    <w:basedOn w:val="28"/>
    <w:unhideWhenUsed/>
    <w:qFormat/>
    <w:uiPriority w:val="99"/>
    <w:rPr>
      <w:color w:val="0000FF"/>
      <w:u w:val="single"/>
    </w:rPr>
  </w:style>
  <w:style w:type="character" w:styleId="33">
    <w:name w:val="HTML Code"/>
    <w:basedOn w:val="28"/>
    <w:qFormat/>
    <w:uiPriority w:val="0"/>
    <w:rPr>
      <w:rFonts w:ascii="Courier New" w:hAnsi="Courier New"/>
      <w:sz w:val="20"/>
    </w:rPr>
  </w:style>
  <w:style w:type="character" w:styleId="34">
    <w:name w:val="annotation reference"/>
    <w:basedOn w:val="28"/>
    <w:qFormat/>
    <w:uiPriority w:val="0"/>
    <w:rPr>
      <w:sz w:val="21"/>
      <w:szCs w:val="21"/>
    </w:rPr>
  </w:style>
  <w:style w:type="paragraph" w:customStyle="1" w:styleId="35">
    <w:name w:val="Default"/>
    <w:autoRedefine/>
    <w:qFormat/>
    <w:uiPriority w:val="0"/>
    <w:pPr>
      <w:widowControl w:val="0"/>
      <w:autoSpaceDE w:val="0"/>
      <w:autoSpaceDN w:val="0"/>
      <w:adjustRightInd w:val="0"/>
      <w:spacing w:line="360" w:lineRule="auto"/>
    </w:pPr>
    <w:rPr>
      <w:rFonts w:ascii="宋体" w:hAnsi="宋体" w:eastAsia="宋体" w:cs="黑体"/>
      <w:color w:val="000000" w:themeColor="text1"/>
      <w:sz w:val="21"/>
      <w:szCs w:val="21"/>
      <w:lang w:val="en-US" w:eastAsia="zh-CN" w:bidi="ar-SA"/>
      <w14:textFill>
        <w14:solidFill>
          <w14:schemeClr w14:val="tx1"/>
        </w14:solidFill>
      </w14:textFill>
    </w:rPr>
  </w:style>
  <w:style w:type="character" w:customStyle="1" w:styleId="36">
    <w:name w:val="页脚 字符"/>
    <w:basedOn w:val="28"/>
    <w:link w:val="16"/>
    <w:qFormat/>
    <w:uiPriority w:val="99"/>
    <w:rPr>
      <w:rFonts w:ascii="Calibri" w:hAnsi="Calibri" w:eastAsia="宋体" w:cs="Times New Roman"/>
      <w:sz w:val="18"/>
      <w:szCs w:val="18"/>
    </w:rPr>
  </w:style>
  <w:style w:type="paragraph" w:customStyle="1" w:styleId="37">
    <w:name w:val="封面正文"/>
    <w:qFormat/>
    <w:uiPriority w:val="0"/>
    <w:pPr>
      <w:jc w:val="both"/>
    </w:pPr>
    <w:rPr>
      <w:rFonts w:ascii="Times New Roman" w:hAnsi="Times New Roman" w:eastAsia="宋体" w:cs="Times New Roman"/>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章标题"/>
    <w:next w:val="3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
    <w:name w:val="A-正文文本"/>
    <w:basedOn w:val="1"/>
    <w:qFormat/>
    <w:uiPriority w:val="0"/>
    <w:pPr>
      <w:spacing w:line="360" w:lineRule="auto"/>
      <w:ind w:firstLine="560" w:firstLineChars="200"/>
    </w:pPr>
    <w:rPr>
      <w:rFonts w:ascii="宋体" w:hAnsi="宋体"/>
      <w:szCs w:val="24"/>
    </w:rPr>
  </w:style>
  <w:style w:type="paragraph" w:customStyle="1" w:styleId="4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2">
    <w:name w:val="实施日期"/>
    <w:basedOn w:val="43"/>
    <w:qFormat/>
    <w:uiPriority w:val="0"/>
    <w:pPr>
      <w:framePr w:hSpace="0" w:wrap="around" w:xAlign="right"/>
      <w:jc w:val="right"/>
    </w:pPr>
  </w:style>
  <w:style w:type="paragraph" w:customStyle="1" w:styleId="4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2">
    <w:name w:val="标题 1 字符"/>
    <w:basedOn w:val="28"/>
    <w:link w:val="2"/>
    <w:qFormat/>
    <w:uiPriority w:val="9"/>
    <w:rPr>
      <w:rFonts w:ascii="Calibri" w:hAnsi="Calibri" w:eastAsia="宋体" w:cs="Times New Roman"/>
      <w:b/>
      <w:bCs/>
      <w:kern w:val="44"/>
      <w:sz w:val="44"/>
      <w:szCs w:val="44"/>
    </w:rPr>
  </w:style>
  <w:style w:type="character" w:customStyle="1" w:styleId="53">
    <w:name w:val="标题 3 字符"/>
    <w:basedOn w:val="28"/>
    <w:link w:val="4"/>
    <w:qFormat/>
    <w:uiPriority w:val="9"/>
    <w:rPr>
      <w:rFonts w:ascii="Calibri" w:hAnsi="Calibri" w:eastAsia="宋体" w:cs="Times New Roman"/>
      <w:b/>
      <w:bCs/>
      <w:sz w:val="32"/>
      <w:szCs w:val="32"/>
    </w:rPr>
  </w:style>
  <w:style w:type="character" w:customStyle="1" w:styleId="54">
    <w:name w:val="标题 4 字符"/>
    <w:basedOn w:val="28"/>
    <w:link w:val="5"/>
    <w:semiHidden/>
    <w:qFormat/>
    <w:uiPriority w:val="0"/>
    <w:rPr>
      <w:rFonts w:ascii="Arial" w:hAnsi="Arial" w:eastAsia="黑体" w:cs="Times New Roman"/>
      <w:b/>
      <w:sz w:val="28"/>
    </w:rPr>
  </w:style>
  <w:style w:type="character" w:customStyle="1" w:styleId="55">
    <w:name w:val="批注文字 字符"/>
    <w:basedOn w:val="28"/>
    <w:link w:val="8"/>
    <w:qFormat/>
    <w:uiPriority w:val="0"/>
    <w:rPr>
      <w:rFonts w:ascii="Calibri" w:hAnsi="Calibri" w:eastAsia="宋体" w:cs="Times New Roman"/>
    </w:rPr>
  </w:style>
  <w:style w:type="character" w:customStyle="1" w:styleId="56">
    <w:name w:val="正文文本缩进 2 字符"/>
    <w:basedOn w:val="28"/>
    <w:link w:val="14"/>
    <w:qFormat/>
    <w:uiPriority w:val="0"/>
    <w:rPr>
      <w:rFonts w:ascii="Calibri" w:hAnsi="Calibri" w:eastAsia="宋体" w:cs="Times New Roman"/>
    </w:rPr>
  </w:style>
  <w:style w:type="character" w:customStyle="1" w:styleId="57">
    <w:name w:val="批注框文本 字符"/>
    <w:basedOn w:val="28"/>
    <w:link w:val="15"/>
    <w:qFormat/>
    <w:uiPriority w:val="0"/>
    <w:rPr>
      <w:rFonts w:ascii="Calibri" w:hAnsi="Calibri" w:eastAsia="宋体" w:cs="Times New Roman"/>
      <w:sz w:val="18"/>
      <w:szCs w:val="18"/>
    </w:rPr>
  </w:style>
  <w:style w:type="character" w:customStyle="1" w:styleId="58">
    <w:name w:val="页眉 字符"/>
    <w:basedOn w:val="28"/>
    <w:link w:val="17"/>
    <w:qFormat/>
    <w:uiPriority w:val="0"/>
    <w:rPr>
      <w:rFonts w:ascii="Calibri" w:hAnsi="Calibri" w:eastAsia="宋体" w:cs="Times New Roman"/>
      <w:sz w:val="18"/>
    </w:rPr>
  </w:style>
  <w:style w:type="character" w:customStyle="1" w:styleId="59">
    <w:name w:val="批注主题 字符"/>
    <w:basedOn w:val="55"/>
    <w:link w:val="25"/>
    <w:qFormat/>
    <w:uiPriority w:val="0"/>
    <w:rPr>
      <w:rFonts w:ascii="Calibri" w:hAnsi="Calibri" w:eastAsia="宋体" w:cs="Times New Roman"/>
      <w:b/>
      <w:bCs/>
    </w:rPr>
  </w:style>
  <w:style w:type="paragraph" w:customStyle="1" w:styleId="60">
    <w:name w:val="目次、标准名称标题"/>
    <w:basedOn w:val="61"/>
    <w:next w:val="38"/>
    <w:qFormat/>
    <w:uiPriority w:val="0"/>
    <w:pPr>
      <w:spacing w:line="460" w:lineRule="exact"/>
    </w:pPr>
  </w:style>
  <w:style w:type="paragraph" w:customStyle="1" w:styleId="6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标准文件_附录标识"/>
    <w:next w:val="63"/>
    <w:qFormat/>
    <w:uiPriority w:val="0"/>
    <w:pPr>
      <w:numPr>
        <w:ilvl w:val="0"/>
        <w:numId w:val="1"/>
      </w:numPr>
      <w:shd w:val="clear" w:color="auto"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发布部门"/>
    <w:next w:val="3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styleId="65">
    <w:name w:val="Placeholder Text"/>
    <w:basedOn w:val="28"/>
    <w:semiHidden/>
    <w:qFormat/>
    <w:uiPriority w:val="99"/>
    <w:rPr>
      <w:color w:val="808080"/>
    </w:rPr>
  </w:style>
  <w:style w:type="character" w:customStyle="1" w:styleId="66">
    <w:name w:val="font21"/>
    <w:basedOn w:val="28"/>
    <w:qFormat/>
    <w:uiPriority w:val="0"/>
    <w:rPr>
      <w:rFonts w:hint="default" w:ascii="Times New Roman" w:hAnsi="Times New Roman" w:cs="Times New Roman"/>
      <w:color w:val="000000"/>
      <w:sz w:val="21"/>
      <w:szCs w:val="21"/>
      <w:u w:val="none"/>
    </w:rPr>
  </w:style>
  <w:style w:type="character" w:customStyle="1" w:styleId="67">
    <w:name w:val="15"/>
    <w:basedOn w:val="28"/>
    <w:qFormat/>
    <w:uiPriority w:val="0"/>
    <w:rPr>
      <w:rFonts w:hint="default" w:ascii="Times New Roman" w:hAnsi="Times New Roman" w:eastAsia="宋体" w:cs="Times New Roman"/>
      <w:sz w:val="18"/>
      <w:szCs w:val="18"/>
    </w:rPr>
  </w:style>
  <w:style w:type="character" w:customStyle="1" w:styleId="68">
    <w:name w:val="未处理的提及1"/>
    <w:basedOn w:val="28"/>
    <w:semiHidden/>
    <w:unhideWhenUsed/>
    <w:qFormat/>
    <w:uiPriority w:val="99"/>
    <w:rPr>
      <w:color w:val="605E5C"/>
      <w:shd w:val="clear" w:color="auto" w:fill="E1DFDD"/>
    </w:rPr>
  </w:style>
  <w:style w:type="paragraph" w:styleId="69">
    <w:name w:val="List Paragraph"/>
    <w:basedOn w:val="1"/>
    <w:qFormat/>
    <w:uiPriority w:val="99"/>
    <w:pPr>
      <w:ind w:firstLine="420" w:firstLineChars="200"/>
    </w:pPr>
  </w:style>
  <w:style w:type="character" w:customStyle="1" w:styleId="70">
    <w:name w:val="未处理的提及2"/>
    <w:basedOn w:val="28"/>
    <w:semiHidden/>
    <w:unhideWhenUsed/>
    <w:qFormat/>
    <w:uiPriority w:val="99"/>
    <w:rPr>
      <w:color w:val="605E5C"/>
      <w:shd w:val="clear" w:color="auto" w:fill="E1DFDD"/>
    </w:rPr>
  </w:style>
  <w:style w:type="character" w:customStyle="1" w:styleId="71">
    <w:name w:val="10"/>
    <w:basedOn w:val="28"/>
    <w:qFormat/>
    <w:uiPriority w:val="0"/>
    <w:rPr>
      <w:rFonts w:hint="default" w:ascii="Times New Roman" w:hAnsi="Times New Roman" w:cs="Times New Roman"/>
    </w:rPr>
  </w:style>
  <w:style w:type="character" w:customStyle="1" w:styleId="72">
    <w:name w:val="font01"/>
    <w:basedOn w:val="28"/>
    <w:qFormat/>
    <w:uiPriority w:val="0"/>
    <w:rPr>
      <w:rFonts w:hint="eastAsia" w:ascii="宋体" w:hAnsi="宋体" w:eastAsia="宋体" w:cs="宋体"/>
      <w:color w:val="000000"/>
      <w:sz w:val="18"/>
      <w:szCs w:val="18"/>
      <w:u w:val="none"/>
    </w:rPr>
  </w:style>
  <w:style w:type="character" w:customStyle="1" w:styleId="73">
    <w:name w:val="font11"/>
    <w:basedOn w:val="28"/>
    <w:qFormat/>
    <w:uiPriority w:val="0"/>
    <w:rPr>
      <w:rFonts w:hint="default" w:ascii="Segoe UI" w:hAnsi="Segoe UI" w:eastAsia="Segoe UI" w:cs="Segoe UI"/>
      <w:color w:val="24292E"/>
      <w:sz w:val="24"/>
      <w:szCs w:val="24"/>
      <w:u w:val="none"/>
    </w:rPr>
  </w:style>
  <w:style w:type="character" w:customStyle="1" w:styleId="74">
    <w:name w:val="font31"/>
    <w:basedOn w:val="28"/>
    <w:qFormat/>
    <w:uiPriority w:val="0"/>
    <w:rPr>
      <w:rFonts w:hint="eastAsia" w:ascii="宋体" w:hAnsi="宋体" w:eastAsia="宋体" w:cs="宋体"/>
      <w:color w:val="000000"/>
      <w:sz w:val="15"/>
      <w:szCs w:val="15"/>
      <w:u w:val="none"/>
    </w:rPr>
  </w:style>
  <w:style w:type="character" w:customStyle="1" w:styleId="75">
    <w:name w:val="未处理的提及3"/>
    <w:basedOn w:val="28"/>
    <w:semiHidden/>
    <w:unhideWhenUsed/>
    <w:qFormat/>
    <w:uiPriority w:val="99"/>
    <w:rPr>
      <w:color w:val="605E5C"/>
      <w:shd w:val="clear" w:color="auto" w:fill="E1DFDD"/>
    </w:rPr>
  </w:style>
  <w:style w:type="paragraph" w:customStyle="1" w:styleId="7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7">
    <w:name w:val="未处理的提及4"/>
    <w:basedOn w:val="28"/>
    <w:semiHidden/>
    <w:unhideWhenUsed/>
    <w:qFormat/>
    <w:uiPriority w:val="99"/>
    <w:rPr>
      <w:color w:val="605E5C"/>
      <w:shd w:val="clear" w:color="auto" w:fill="E1DFDD"/>
    </w:rPr>
  </w:style>
  <w:style w:type="character" w:customStyle="1" w:styleId="78">
    <w:name w:val="未处理的提及5"/>
    <w:basedOn w:val="28"/>
    <w:semiHidden/>
    <w:unhideWhenUsed/>
    <w:qFormat/>
    <w:uiPriority w:val="99"/>
    <w:rPr>
      <w:color w:val="605E5C"/>
      <w:shd w:val="clear" w:color="auto" w:fill="E1DFDD"/>
    </w:rPr>
  </w:style>
  <w:style w:type="character" w:customStyle="1" w:styleId="79">
    <w:name w:val="未处理的提及6"/>
    <w:basedOn w:val="28"/>
    <w:semiHidden/>
    <w:unhideWhenUsed/>
    <w:qFormat/>
    <w:uiPriority w:val="99"/>
    <w:rPr>
      <w:color w:val="605E5C"/>
      <w:shd w:val="clear" w:color="auto" w:fill="E1DFDD"/>
    </w:rPr>
  </w:style>
  <w:style w:type="paragraph" w:customStyle="1" w:styleId="8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8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83">
    <w:name w:val="修订2"/>
    <w:hidden/>
    <w:unhideWhenUsed/>
    <w:qFormat/>
    <w:uiPriority w:val="99"/>
    <w:rPr>
      <w:rFonts w:ascii="Calibri" w:hAnsi="Calibri" w:eastAsia="宋体" w:cs="Times New Roman"/>
      <w:kern w:val="2"/>
      <w:sz w:val="21"/>
      <w:szCs w:val="22"/>
      <w:lang w:val="en-US" w:eastAsia="zh-CN" w:bidi="ar-SA"/>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样式1"/>
    <w:basedOn w:val="1"/>
    <w:qFormat/>
    <w:uiPriority w:val="0"/>
    <w:pPr>
      <w:tabs>
        <w:tab w:val="left" w:pos="6"/>
      </w:tabs>
      <w:spacing w:line="360" w:lineRule="auto"/>
      <w:ind w:firstLine="480" w:firstLineChars="200"/>
    </w:pPr>
    <w:rPr>
      <w:rFonts w:ascii="仿宋" w:hAnsi="仿宋" w:eastAsia="仿宋"/>
      <w:sz w:val="24"/>
      <w:szCs w:val="24"/>
    </w:rPr>
  </w:style>
  <w:style w:type="paragraph" w:customStyle="1" w:styleId="86">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87">
    <w:name w:val="修订3"/>
    <w:hidden/>
    <w:semiHidden/>
    <w:qFormat/>
    <w:uiPriority w:val="99"/>
    <w:rPr>
      <w:rFonts w:ascii="Calibri" w:hAnsi="Calibri" w:eastAsia="宋体" w:cs="Times New Roman"/>
      <w:kern w:val="2"/>
      <w:sz w:val="21"/>
      <w:szCs w:val="22"/>
      <w:lang w:val="en-US" w:eastAsia="zh-CN" w:bidi="ar-SA"/>
    </w:rPr>
  </w:style>
  <w:style w:type="paragraph" w:customStyle="1" w:styleId="88">
    <w:name w:val="标准-三级标题"/>
    <w:next w:val="1"/>
    <w:autoRedefine/>
    <w:qFormat/>
    <w:uiPriority w:val="0"/>
    <w:pPr>
      <w:spacing w:before="156" w:beforeLines="50" w:after="156" w:afterLines="50"/>
      <w:jc w:val="both"/>
      <w:outlineLvl w:val="2"/>
    </w:pPr>
    <w:rPr>
      <w:rFonts w:ascii="黑体" w:hAnsi="Times New Roman" w:eastAsia="黑体" w:cs="Times New Roman"/>
      <w:sz w:val="21"/>
      <w:lang w:val="en-US" w:eastAsia="zh-CN" w:bidi="ar-SA"/>
    </w:rPr>
  </w:style>
  <w:style w:type="paragraph" w:customStyle="1" w:styleId="89">
    <w:name w:val="标准-四级标题"/>
    <w:basedOn w:val="88"/>
    <w:autoRedefine/>
    <w:qFormat/>
    <w:uiPriority w:val="0"/>
    <w:pPr>
      <w:spacing w:before="0" w:beforeLines="0" w:after="0" w:afterLines="0" w:line="360" w:lineRule="auto"/>
      <w:ind w:firstLine="200" w:firstLineChars="200"/>
      <w:outlineLvl w:val="3"/>
    </w:pPr>
    <w:rPr>
      <w:rFonts w:ascii="宋体" w:hAnsi="宋体" w:eastAsia="宋体" w:cs="宋体"/>
      <w:color w:val="000000" w:themeColor="text1"/>
      <w:kern w:val="2"/>
      <w:szCs w:val="21"/>
      <w14:textFill>
        <w14:solidFill>
          <w14:schemeClr w14:val="tx1"/>
        </w14:solidFill>
      </w14:textFill>
    </w:rPr>
  </w:style>
  <w:style w:type="paragraph" w:customStyle="1" w:styleId="90">
    <w:name w:val="标准-正文"/>
    <w:basedOn w:val="88"/>
    <w:autoRedefine/>
    <w:qFormat/>
    <w:uiPriority w:val="0"/>
    <w:pPr>
      <w:spacing w:before="0" w:beforeLines="0" w:after="0" w:afterLines="0" w:line="360" w:lineRule="auto"/>
      <w:ind w:firstLine="420" w:firstLineChars="200"/>
      <w:outlineLvl w:val="9"/>
    </w:pPr>
    <w:rPr>
      <w:rFonts w:ascii="宋体" w:hAnsi="宋体" w:eastAsia="宋体" w:cs="宋体"/>
      <w:kern w:val="2"/>
      <w:szCs w:val="21"/>
    </w:rPr>
  </w:style>
  <w:style w:type="character" w:customStyle="1" w:styleId="91">
    <w:name w:val="日期 字符"/>
    <w:basedOn w:val="28"/>
    <w:link w:val="13"/>
    <w:semiHidden/>
    <w:qFormat/>
    <w:uiPriority w:val="99"/>
    <w:rPr>
      <w:rFonts w:ascii="Calibri" w:hAnsi="Calibri"/>
      <w:kern w:val="2"/>
      <w:sz w:val="21"/>
      <w:szCs w:val="22"/>
    </w:rPr>
  </w:style>
  <w:style w:type="character" w:customStyle="1" w:styleId="92">
    <w:name w:val="fontstyle01"/>
    <w:basedOn w:val="28"/>
    <w:qFormat/>
    <w:uiPriority w:val="0"/>
    <w:rPr>
      <w:rFonts w:hint="eastAsia" w:ascii="宋体" w:hAnsi="宋体" w:eastAsia="宋体"/>
      <w:color w:val="000000"/>
      <w:sz w:val="22"/>
      <w:szCs w:val="22"/>
    </w:rPr>
  </w:style>
  <w:style w:type="character" w:customStyle="1" w:styleId="93">
    <w:name w:val="标题 2 字符"/>
    <w:basedOn w:val="28"/>
    <w:link w:val="3"/>
    <w:qFormat/>
    <w:uiPriority w:val="1"/>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8B8F1-7B7D-4B81-A849-186189EB2385}">
  <ds:schemaRefs/>
</ds:datastoreItem>
</file>

<file path=docProps/app.xml><?xml version="1.0" encoding="utf-8"?>
<Properties xmlns="http://schemas.openxmlformats.org/officeDocument/2006/extended-properties" xmlns:vt="http://schemas.openxmlformats.org/officeDocument/2006/docPropsVTypes">
  <Template>Normal</Template>
  <Pages>60</Pages>
  <Words>12038</Words>
  <Characters>12699</Characters>
  <Lines>335</Lines>
  <Paragraphs>94</Paragraphs>
  <TotalTime>20</TotalTime>
  <ScaleCrop>false</ScaleCrop>
  <LinksUpToDate>false</LinksUpToDate>
  <CharactersWithSpaces>12970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2024-10-15T02:17:00Z</dcterms:created>
  <dc:creator>Administrator</dc:creator>
  <cp:lastModifiedBy>DELL</cp:lastModifiedBy>
  <cp:lastPrinted>2024-10-11T04:15:00Z</cp:lastPrinted>
  <dcterms:modified xsi:type="dcterms:W3CDTF">2024-10-16T01:24:51Z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00DDE117A1A94B168F28F16B7244ECBC_13</vt:lpwstr>
  </property>
</Properties>
</file>