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99"/>
        </w:tabs>
        <w:spacing w:before="0" w:line="1040" w:lineRule="exact"/>
        <w:ind w:left="589" w:right="0" w:firstLine="0"/>
        <w:jc w:val="left"/>
        <w:rPr>
          <w:b/>
          <w:sz w:val="84"/>
        </w:rPr>
      </w:pPr>
      <w:r>
        <w:pict>
          <v:line id="直线 2" o:spid="_x0000_s1030" o:spt="20" style="position:absolute;left:0pt;margin-left:0pt;margin-top:245.05pt;height:0pt;width:589.55pt;mso-position-horizontal-relative:page;mso-position-vertical-relative:page;z-index:-251656192;mso-width-relative:page;mso-height-relative:page;" filled="f" stroked="t" coordsize="21600,21600" o:gfxdata="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JCpd9cAAAAJAQAADwAAAAAAAAABACAAAAAiAAAAZHJzL2Rvd25yZXYueG1sUEsBAhQAFAAAAAgA&#10;h07iQDpmMlTtAQAA2wMAAA4AAAAAAAAAAQAgAAAAJgEAAGRycy9lMm9Eb2MueG1sUEsFBgAAAAAG&#10;AAYAWQEAAIUFAAAAAA==&#10;">
            <v:path arrowok="t"/>
            <v:fill on="f" focussize="0,0"/>
            <v:stroke color="#3C4F9B" joinstyle="round"/>
            <v:imagedata o:title=""/>
            <o:lock v:ext="edit" aspectratio="f"/>
          </v:line>
        </w:pict>
      </w:r>
      <w:r>
        <w:pict>
          <v:line id="直线 3" o:spid="_x0000_s1031" o:spt="20" style="position:absolute;left:0pt;margin-left:0.85pt;margin-top:712.2pt;height:0pt;width:592.85pt;mso-position-horizontal-relative:page;mso-position-vertical-relative:page;z-index:251661312;mso-width-relative:page;mso-height-relative:page;" filled="f" stroked="t" coordsize="21600,21600" o:gfxdata="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4iM8dcAAAAMAQAADwAAAAAAAAABACAAAAAiAAAAZHJzL2Rvd25yZXYueG1sUEsBAhQAFAAAAAgA&#10;h07iQGGjewbtAQAA2wMAAA4AAAAAAAAAAQAgAAAAJgEAAGRycy9lMm9Eb2MueG1sUEsFBgAAAAAG&#10;AAYAWQEAAIUFAAAAAA==&#10;">
            <v:path arrowok="t"/>
            <v:fill on="f" focussize="0,0"/>
            <v:stroke weight="0.6pt" color="#3C4F9B" joinstyle="round"/>
            <v:imagedata o:title=""/>
            <o:lock v:ext="edit" aspectratio="f"/>
          </v:line>
        </w:pict>
      </w:r>
      <w:r>
        <w:rPr>
          <w:rFonts w:ascii="Times New Roman"/>
          <w:color w:val="3C4F9B"/>
          <w:sz w:val="24"/>
        </w:rPr>
        <w:t>ICS</w:t>
      </w:r>
      <w:r>
        <w:rPr>
          <w:rFonts w:ascii="Times New Roman"/>
          <w:color w:val="3C4F9B"/>
          <w:sz w:val="24"/>
        </w:rPr>
        <w:tab/>
      </w:r>
      <w:r>
        <w:rPr>
          <w:b/>
          <w:color w:val="3C4F9B"/>
          <w:position w:val="1"/>
          <w:sz w:val="84"/>
        </w:rPr>
        <w:t>TB</w:t>
      </w:r>
    </w:p>
    <w:p>
      <w:pPr>
        <w:pStyle w:val="5"/>
        <w:rPr>
          <w:b/>
          <w:sz w:val="20"/>
        </w:rPr>
      </w:pPr>
    </w:p>
    <w:p>
      <w:pPr>
        <w:pStyle w:val="5"/>
        <w:rPr>
          <w:b/>
          <w:sz w:val="20"/>
        </w:rPr>
      </w:pPr>
    </w:p>
    <w:p>
      <w:pPr>
        <w:pStyle w:val="5"/>
        <w:spacing w:before="5"/>
        <w:rPr>
          <w:b/>
          <w:sz w:val="28"/>
        </w:rPr>
      </w:pPr>
    </w:p>
    <w:p>
      <w:pPr>
        <w:tabs>
          <w:tab w:val="left" w:pos="2760"/>
          <w:tab w:val="left" w:pos="5076"/>
          <w:tab w:val="left" w:pos="7394"/>
        </w:tabs>
        <w:spacing w:before="0" w:line="1059" w:lineRule="exact"/>
        <w:ind w:left="441" w:right="0" w:firstLine="0"/>
        <w:jc w:val="center"/>
        <w:rPr>
          <w:rFonts w:hint="eastAsia" w:ascii="黑体" w:eastAsia="黑体"/>
          <w:sz w:val="84"/>
        </w:rPr>
      </w:pPr>
      <w:r>
        <w:rPr>
          <w:rFonts w:hint="eastAsia" w:ascii="黑体" w:eastAsia="黑体"/>
          <w:color w:val="3C4F9B"/>
          <w:sz w:val="84"/>
        </w:rPr>
        <w:t>团</w:t>
      </w:r>
      <w:r>
        <w:rPr>
          <w:rFonts w:hint="eastAsia" w:ascii="黑体" w:eastAsia="黑体"/>
          <w:color w:val="3C4F9B"/>
          <w:sz w:val="84"/>
        </w:rPr>
        <w:tab/>
      </w:r>
      <w:r>
        <w:rPr>
          <w:rFonts w:hint="eastAsia" w:ascii="黑体" w:eastAsia="黑体"/>
          <w:color w:val="3C4F9B"/>
          <w:sz w:val="84"/>
        </w:rPr>
        <w:t>体</w:t>
      </w:r>
      <w:r>
        <w:rPr>
          <w:rFonts w:hint="eastAsia" w:ascii="黑体" w:eastAsia="黑体"/>
          <w:color w:val="3C4F9B"/>
          <w:sz w:val="84"/>
        </w:rPr>
        <w:tab/>
      </w:r>
      <w:r>
        <w:rPr>
          <w:rFonts w:hint="eastAsia" w:ascii="黑体" w:eastAsia="黑体"/>
          <w:color w:val="3C4F9B"/>
          <w:sz w:val="84"/>
        </w:rPr>
        <w:t>标</w:t>
      </w:r>
      <w:r>
        <w:rPr>
          <w:rFonts w:hint="eastAsia" w:ascii="黑体" w:eastAsia="黑体"/>
          <w:color w:val="3C4F9B"/>
          <w:sz w:val="84"/>
        </w:rPr>
        <w:tab/>
      </w:r>
      <w:r>
        <w:rPr>
          <w:rFonts w:hint="eastAsia" w:ascii="黑体" w:eastAsia="黑体"/>
          <w:color w:val="3C4F9B"/>
          <w:sz w:val="84"/>
        </w:rPr>
        <w:t>准</w:t>
      </w:r>
    </w:p>
    <w:p>
      <w:pPr>
        <w:pStyle w:val="4"/>
        <w:tabs>
          <w:tab w:val="left" w:pos="1555"/>
        </w:tabs>
        <w:spacing w:before="481"/>
        <w:ind w:right="264"/>
        <w:jc w:val="right"/>
      </w:pPr>
      <w:r>
        <w:rPr>
          <w:color w:val="3C4F9B"/>
        </w:rPr>
        <w:t>T/</w:t>
      </w:r>
      <w:r>
        <w:rPr>
          <w:rFonts w:hint="eastAsia"/>
          <w:color w:val="3C4F9B"/>
        </w:rPr>
        <w:t>QDCIAT</w:t>
      </w:r>
      <w:r>
        <w:rPr>
          <w:color w:val="3C4F9B"/>
        </w:rPr>
        <w:tab/>
      </w:r>
      <w:r>
        <w:rPr>
          <w:color w:val="3C4F9B"/>
          <w:spacing w:val="-1"/>
        </w:rPr>
        <w:t>0</w:t>
      </w:r>
      <w:r>
        <w:rPr>
          <w:rFonts w:hint="eastAsia"/>
          <w:color w:val="3C4F9B"/>
          <w:spacing w:val="-1"/>
          <w:lang w:val="en-US" w:eastAsia="zh-CN"/>
        </w:rPr>
        <w:t>2</w:t>
      </w:r>
      <w:r>
        <w:rPr>
          <w:color w:val="3C4F9B"/>
          <w:spacing w:val="-1"/>
        </w:rPr>
        <w:t>-2021</w:t>
      </w:r>
    </w:p>
    <w:p>
      <w:pPr>
        <w:pStyle w:val="5"/>
        <w:rPr>
          <w:rFonts w:ascii="Times New Roman"/>
          <w:sz w:val="30"/>
        </w:rPr>
      </w:pPr>
    </w:p>
    <w:p>
      <w:pPr>
        <w:pStyle w:val="5"/>
        <w:spacing w:before="6"/>
        <w:rPr>
          <w:rFonts w:ascii="Times New Roman"/>
          <w:sz w:val="44"/>
        </w:rPr>
      </w:pPr>
    </w:p>
    <w:p>
      <w:pPr>
        <w:spacing w:before="0"/>
        <w:ind w:left="10" w:right="0" w:firstLine="0"/>
        <w:jc w:val="center"/>
        <w:rPr>
          <w:rFonts w:hint="eastAsia" w:ascii="黑体" w:eastAsia="黑体"/>
          <w:sz w:val="52"/>
        </w:rPr>
      </w:pPr>
      <w:r>
        <w:rPr>
          <w:rFonts w:hint="eastAsia" w:ascii="黑体" w:eastAsia="黑体"/>
          <w:color w:val="3C4F9B"/>
          <w:sz w:val="52"/>
        </w:rPr>
        <w:t>智慧</w:t>
      </w:r>
      <w:r>
        <w:rPr>
          <w:rFonts w:hint="eastAsia" w:ascii="黑体" w:eastAsia="黑体"/>
          <w:color w:val="3C4F9B"/>
          <w:sz w:val="52"/>
          <w:lang w:eastAsia="zh-CN"/>
        </w:rPr>
        <w:t>化</w:t>
      </w:r>
      <w:r>
        <w:rPr>
          <w:rFonts w:hint="eastAsia" w:ascii="黑体" w:eastAsia="黑体"/>
          <w:color w:val="3C4F9B"/>
          <w:sz w:val="52"/>
        </w:rPr>
        <w:t>工地</w:t>
      </w:r>
      <w:r>
        <w:rPr>
          <w:rFonts w:hint="eastAsia" w:ascii="黑体" w:eastAsia="黑体"/>
          <w:color w:val="3C4F9B"/>
          <w:sz w:val="52"/>
          <w:lang w:eastAsia="zh-CN"/>
        </w:rPr>
        <w:t>评价</w:t>
      </w:r>
      <w:r>
        <w:rPr>
          <w:rFonts w:hint="eastAsia" w:ascii="黑体" w:eastAsia="黑体"/>
          <w:color w:val="3C4F9B"/>
          <w:sz w:val="52"/>
        </w:rPr>
        <w:t>标准</w:t>
      </w:r>
    </w:p>
    <w:p>
      <w:pPr>
        <w:keepNext w:val="0"/>
        <w:keepLines w:val="0"/>
        <w:widowControl/>
        <w:suppressLineNumbers w:val="0"/>
        <w:jc w:val="center"/>
        <w:rPr>
          <w:rFonts w:hint="eastAsia" w:ascii="Times New Roman" w:hAnsi="Times New Roman" w:cs="Times New Roman"/>
          <w:color w:val="3D4F9B"/>
          <w:kern w:val="0"/>
          <w:sz w:val="32"/>
          <w:szCs w:val="32"/>
          <w:lang w:val="en-US" w:eastAsia="zh-CN" w:bidi="ar"/>
        </w:rPr>
      </w:pPr>
    </w:p>
    <w:p>
      <w:pPr>
        <w:keepNext w:val="0"/>
        <w:keepLines w:val="0"/>
        <w:widowControl/>
        <w:suppressLineNumbers w:val="0"/>
        <w:jc w:val="center"/>
        <w:rPr>
          <w:sz w:val="32"/>
          <w:szCs w:val="32"/>
        </w:rPr>
      </w:pPr>
      <w:r>
        <w:rPr>
          <w:rFonts w:hint="eastAsia"/>
          <w:color w:val="3C4F9B"/>
          <w:sz w:val="32"/>
          <w:szCs w:val="32"/>
          <w:lang w:val="en-US" w:eastAsia="zh-CN"/>
        </w:rPr>
        <w:t>E</w:t>
      </w:r>
      <w:r>
        <w:rPr>
          <w:rFonts w:hint="default"/>
          <w:color w:val="3C4F9B"/>
          <w:sz w:val="32"/>
          <w:szCs w:val="32"/>
          <w:lang w:val="en-US" w:eastAsia="zh-CN"/>
        </w:rPr>
        <w:t>valuation</w:t>
      </w:r>
      <w:r>
        <w:rPr>
          <w:color w:val="3C4F9B"/>
          <w:sz w:val="32"/>
          <w:szCs w:val="32"/>
        </w:rPr>
        <w:t xml:space="preserve"> standard for smart construction site</w:t>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jc w:val="center"/>
        <w:rPr>
          <w:rFonts w:hint="default" w:ascii="黑体" w:hAnsi="宋体" w:eastAsia="黑体" w:cs="宋体"/>
          <w:color w:val="3C4F9B"/>
          <w:sz w:val="32"/>
          <w:szCs w:val="32"/>
          <w:lang w:val="en-US" w:eastAsia="zh-CN" w:bidi="zh-CN"/>
        </w:rPr>
      </w:pPr>
      <w:r>
        <w:rPr>
          <w:rFonts w:hint="eastAsia" w:ascii="黑体" w:hAnsi="宋体" w:eastAsia="黑体" w:cs="宋体"/>
          <w:color w:val="3C4F9B"/>
          <w:sz w:val="32"/>
          <w:szCs w:val="32"/>
          <w:lang w:val="en-US" w:eastAsia="zh-CN" w:bidi="zh-CN"/>
        </w:rPr>
        <w:t>(征求意见稿)</w:t>
      </w:r>
    </w:p>
    <w:p>
      <w:pPr>
        <w:pStyle w:val="5"/>
        <w:rPr>
          <w:rFonts w:ascii="Times New Roman"/>
          <w:sz w:val="20"/>
        </w:rPr>
      </w:pPr>
    </w:p>
    <w:p>
      <w:pPr>
        <w:pStyle w:val="5"/>
        <w:jc w:val="center"/>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
        <w:rPr>
          <w:rFonts w:ascii="Times New Roman"/>
          <w:sz w:val="19"/>
        </w:rPr>
      </w:pPr>
    </w:p>
    <w:p>
      <w:pPr>
        <w:pStyle w:val="4"/>
        <w:tabs>
          <w:tab w:val="left" w:pos="7566"/>
        </w:tabs>
        <w:spacing w:before="70"/>
        <w:ind w:left="100" w:right="0"/>
        <w:jc w:val="left"/>
        <w:rPr>
          <w:rFonts w:hint="eastAsia" w:ascii="黑体" w:eastAsia="黑体"/>
        </w:rPr>
      </w:pPr>
      <w:r>
        <w:rPr>
          <w:color w:val="3C4F9B"/>
        </w:rPr>
        <w:t>2021-0</w:t>
      </w:r>
      <w:r>
        <w:rPr>
          <w:rFonts w:hint="eastAsia"/>
          <w:color w:val="3C4F9B"/>
          <w:lang w:val="en-US" w:eastAsia="zh-CN"/>
        </w:rPr>
        <w:t>X</w:t>
      </w:r>
      <w:r>
        <w:rPr>
          <w:color w:val="3C4F9B"/>
          <w:spacing w:val="-2"/>
        </w:rPr>
        <w:t xml:space="preserve"> </w:t>
      </w:r>
      <w:r>
        <w:rPr>
          <w:rFonts w:hint="eastAsia" w:ascii="黑体" w:eastAsia="黑体"/>
          <w:color w:val="3C4F9B"/>
        </w:rPr>
        <w:t>月</w:t>
      </w:r>
      <w:r>
        <w:rPr>
          <w:color w:val="3C4F9B"/>
        </w:rPr>
        <w:t>-</w:t>
      </w:r>
      <w:r>
        <w:rPr>
          <w:rFonts w:hint="eastAsia"/>
          <w:color w:val="3C4F9B"/>
          <w:lang w:val="en-US" w:eastAsia="zh-CN"/>
        </w:rPr>
        <w:t>XX</w:t>
      </w:r>
      <w:r>
        <w:rPr>
          <w:color w:val="3C4F9B"/>
          <w:spacing w:val="-2"/>
        </w:rPr>
        <w:t xml:space="preserve"> </w:t>
      </w:r>
      <w:r>
        <w:rPr>
          <w:rFonts w:hint="eastAsia" w:ascii="黑体" w:eastAsia="黑体"/>
          <w:color w:val="3C4F9B"/>
        </w:rPr>
        <w:t>日</w:t>
      </w:r>
      <w:r>
        <w:rPr>
          <w:rFonts w:hint="eastAsia" w:ascii="黑体" w:eastAsia="黑体"/>
          <w:color w:val="3C4F9B"/>
          <w:spacing w:val="-3"/>
        </w:rPr>
        <w:t>发</w:t>
      </w:r>
      <w:r>
        <w:rPr>
          <w:rFonts w:hint="eastAsia" w:ascii="黑体" w:eastAsia="黑体"/>
          <w:color w:val="3C4F9B"/>
        </w:rPr>
        <w:t>布</w:t>
      </w:r>
      <w:r>
        <w:rPr>
          <w:rFonts w:hint="eastAsia" w:ascii="黑体" w:eastAsia="黑体"/>
          <w:color w:val="3C4F9B"/>
        </w:rPr>
        <w:tab/>
      </w:r>
      <w:r>
        <w:rPr>
          <w:color w:val="3C4F9B"/>
        </w:rPr>
        <w:t>2021-0</w:t>
      </w:r>
      <w:r>
        <w:rPr>
          <w:rFonts w:hint="eastAsia"/>
          <w:color w:val="3C4F9B"/>
          <w:lang w:val="en-US" w:eastAsia="zh-CN"/>
        </w:rPr>
        <w:t>X</w:t>
      </w:r>
      <w:r>
        <w:rPr>
          <w:color w:val="3C4F9B"/>
        </w:rPr>
        <w:t>-</w:t>
      </w:r>
      <w:r>
        <w:rPr>
          <w:rFonts w:hint="eastAsia"/>
          <w:color w:val="3C4F9B"/>
          <w:lang w:val="en-US" w:eastAsia="zh-CN"/>
        </w:rPr>
        <w:t>XX</w:t>
      </w:r>
      <w:r>
        <w:rPr>
          <w:color w:val="3C4F9B"/>
          <w:spacing w:val="-2"/>
        </w:rPr>
        <w:t xml:space="preserve"> </w:t>
      </w:r>
      <w:r>
        <w:rPr>
          <w:rFonts w:hint="eastAsia" w:ascii="黑体" w:eastAsia="黑体"/>
          <w:color w:val="3C4F9B"/>
        </w:rPr>
        <w:t>实施</w:t>
      </w:r>
    </w:p>
    <w:p>
      <w:pPr>
        <w:tabs>
          <w:tab w:val="left" w:pos="8259"/>
        </w:tabs>
        <w:spacing w:before="242"/>
        <w:ind w:left="100" w:right="0" w:firstLine="0"/>
        <w:jc w:val="left"/>
        <w:rPr>
          <w:rFonts w:hint="eastAsia" w:ascii="黑体" w:eastAsia="黑体"/>
          <w:sz w:val="32"/>
        </w:rPr>
      </w:pPr>
      <w:r>
        <w:rPr>
          <w:rFonts w:hint="eastAsia" w:ascii="黑体" w:eastAsia="黑体"/>
          <w:color w:val="3C4F9B"/>
          <w:sz w:val="32"/>
          <w:lang w:eastAsia="zh-CN"/>
        </w:rPr>
        <w:t>青</w:t>
      </w:r>
      <w:r>
        <w:rPr>
          <w:rFonts w:hint="eastAsia" w:ascii="黑体" w:eastAsia="黑体"/>
          <w:color w:val="3C4F9B"/>
          <w:sz w:val="32"/>
          <w:lang w:val="en-US" w:eastAsia="zh-CN"/>
        </w:rPr>
        <w:t xml:space="preserve"> </w:t>
      </w:r>
      <w:r>
        <w:rPr>
          <w:rFonts w:hint="eastAsia" w:ascii="黑体" w:eastAsia="黑体"/>
          <w:color w:val="3C4F9B"/>
          <w:sz w:val="32"/>
          <w:lang w:eastAsia="zh-CN"/>
        </w:rPr>
        <w:t>岛</w:t>
      </w:r>
      <w:r>
        <w:rPr>
          <w:rFonts w:hint="eastAsia" w:ascii="黑体" w:eastAsia="黑体"/>
          <w:color w:val="3C4F9B"/>
          <w:sz w:val="32"/>
          <w:lang w:val="en-US" w:eastAsia="zh-CN"/>
        </w:rPr>
        <w:t xml:space="preserve"> </w:t>
      </w:r>
      <w:r>
        <w:rPr>
          <w:rFonts w:hint="eastAsia" w:ascii="黑体" w:eastAsia="黑体"/>
          <w:color w:val="3C4F9B"/>
          <w:sz w:val="32"/>
          <w:lang w:eastAsia="zh-CN"/>
        </w:rPr>
        <w:t>市</w:t>
      </w:r>
      <w:r>
        <w:rPr>
          <w:rFonts w:hint="eastAsia" w:ascii="黑体" w:eastAsia="黑体"/>
          <w:color w:val="3C4F9B"/>
          <w:sz w:val="32"/>
          <w:lang w:val="en-US" w:eastAsia="zh-CN"/>
        </w:rPr>
        <w:t xml:space="preserve"> </w:t>
      </w:r>
      <w:r>
        <w:rPr>
          <w:rFonts w:hint="eastAsia" w:ascii="黑体" w:eastAsia="黑体"/>
          <w:color w:val="3C4F9B"/>
          <w:sz w:val="32"/>
          <w:lang w:eastAsia="zh-CN"/>
        </w:rPr>
        <w:t>建</w:t>
      </w:r>
      <w:r>
        <w:rPr>
          <w:rFonts w:hint="eastAsia" w:ascii="黑体" w:eastAsia="黑体"/>
          <w:color w:val="3C4F9B"/>
          <w:sz w:val="32"/>
          <w:lang w:val="en-US" w:eastAsia="zh-CN"/>
        </w:rPr>
        <w:t xml:space="preserve"> </w:t>
      </w:r>
      <w:r>
        <w:rPr>
          <w:rFonts w:hint="eastAsia" w:ascii="黑体" w:eastAsia="黑体"/>
          <w:color w:val="3C4F9B"/>
          <w:sz w:val="32"/>
          <w:lang w:eastAsia="zh-CN"/>
        </w:rPr>
        <w:t>筑</w:t>
      </w:r>
      <w:r>
        <w:rPr>
          <w:rFonts w:hint="eastAsia" w:ascii="黑体" w:eastAsia="黑体"/>
          <w:color w:val="3C4F9B"/>
          <w:sz w:val="32"/>
          <w:lang w:val="en-US" w:eastAsia="zh-CN"/>
        </w:rPr>
        <w:t xml:space="preserve"> </w:t>
      </w:r>
      <w:r>
        <w:rPr>
          <w:rFonts w:hint="eastAsia" w:ascii="黑体" w:eastAsia="黑体"/>
          <w:color w:val="3C4F9B"/>
          <w:sz w:val="32"/>
          <w:lang w:eastAsia="zh-CN"/>
        </w:rPr>
        <w:t>业</w:t>
      </w:r>
      <w:r>
        <w:rPr>
          <w:rFonts w:hint="eastAsia" w:ascii="黑体" w:eastAsia="黑体"/>
          <w:color w:val="3C4F9B"/>
          <w:sz w:val="32"/>
        </w:rPr>
        <w:t xml:space="preserve"> 协 会</w:t>
      </w:r>
      <w:r>
        <w:rPr>
          <w:rFonts w:hint="eastAsia" w:ascii="黑体" w:eastAsia="黑体"/>
          <w:color w:val="3C4F9B"/>
          <w:sz w:val="32"/>
        </w:rPr>
        <w:tab/>
      </w:r>
      <w:r>
        <w:rPr>
          <w:rFonts w:hint="eastAsia" w:ascii="黑体" w:eastAsia="黑体"/>
          <w:color w:val="3C4F9B"/>
          <w:sz w:val="32"/>
        </w:rPr>
        <w:t>发</w:t>
      </w:r>
      <w:r>
        <w:rPr>
          <w:rFonts w:hint="eastAsia" w:ascii="黑体" w:eastAsia="黑体"/>
          <w:color w:val="3C4F9B"/>
          <w:spacing w:val="1"/>
          <w:sz w:val="32"/>
        </w:rPr>
        <w:t xml:space="preserve"> </w:t>
      </w:r>
      <w:r>
        <w:rPr>
          <w:rFonts w:hint="eastAsia" w:ascii="黑体" w:eastAsia="黑体"/>
          <w:color w:val="3C4F9B"/>
          <w:sz w:val="32"/>
        </w:rPr>
        <w:t>布</w:t>
      </w:r>
    </w:p>
    <w:p>
      <w:pPr>
        <w:spacing w:after="0"/>
        <w:jc w:val="left"/>
        <w:rPr>
          <w:rFonts w:hint="eastAsia" w:ascii="黑体" w:eastAsia="黑体"/>
          <w:sz w:val="32"/>
        </w:rPr>
        <w:sectPr>
          <w:headerReference r:id="rId5" w:type="default"/>
          <w:pgSz w:w="11910" w:h="16840"/>
          <w:pgMar w:top="880" w:right="860" w:bottom="280" w:left="980" w:header="720" w:footer="720" w:gutter="0"/>
          <w:cols w:space="720" w:num="1"/>
        </w:sectPr>
      </w:pPr>
    </w:p>
    <w:p>
      <w:pPr>
        <w:tabs>
          <w:tab w:val="left" w:pos="700"/>
        </w:tabs>
        <w:spacing w:before="61"/>
        <w:ind w:left="0" w:right="117" w:firstLine="0"/>
        <w:jc w:val="center"/>
        <w:rPr>
          <w:rFonts w:hint="eastAsia" w:ascii="黑体" w:eastAsia="黑体"/>
          <w:sz w:val="28"/>
        </w:rPr>
      </w:pPr>
      <w:r>
        <w:rPr>
          <w:rFonts w:hint="eastAsia" w:ascii="黑体" w:eastAsia="黑体"/>
          <w:sz w:val="28"/>
        </w:rPr>
        <w:t>目</w:t>
      </w:r>
      <w:r>
        <w:rPr>
          <w:rFonts w:hint="eastAsia" w:ascii="黑体" w:eastAsia="黑体"/>
          <w:sz w:val="28"/>
        </w:rPr>
        <w:tab/>
      </w:r>
      <w:r>
        <w:rPr>
          <w:rFonts w:hint="eastAsia" w:ascii="黑体" w:eastAsia="黑体"/>
          <w:sz w:val="28"/>
        </w:rPr>
        <w:t>次</w:t>
      </w:r>
    </w:p>
    <w:p>
      <w:pPr>
        <w:pStyle w:val="5"/>
        <w:rPr>
          <w:rFonts w:ascii="黑体"/>
          <w:sz w:val="28"/>
        </w:rPr>
      </w:pPr>
    </w:p>
    <w:p>
      <w:pPr>
        <w:pStyle w:val="5"/>
        <w:spacing w:before="3"/>
        <w:rPr>
          <w:rFonts w:ascii="黑体"/>
          <w:sz w:val="39"/>
        </w:rPr>
      </w:pPr>
    </w:p>
    <w:p>
      <w:pPr>
        <w:pStyle w:val="5"/>
        <w:tabs>
          <w:tab w:val="left" w:leader="dot" w:pos="9599"/>
        </w:tabs>
        <w:ind w:right="228"/>
        <w:jc w:val="right"/>
        <w:rPr>
          <w:rFonts w:ascii="Times New Roman" w:hAnsi="Times New Roman" w:eastAsia="Times New Roman"/>
        </w:rPr>
      </w:pPr>
      <w:r>
        <w:t>前言</w:t>
      </w:r>
      <w:r>
        <w:fldChar w:fldCharType="begin"/>
      </w:r>
      <w:r>
        <w:instrText xml:space="preserve"> HYPERLINK \l "_bookmark0" </w:instrText>
      </w:r>
      <w:r>
        <w:fldChar w:fldCharType="separate"/>
      </w:r>
      <w:r>
        <w:tab/>
      </w:r>
      <w:r>
        <w:rPr>
          <w:rFonts w:ascii="Times New Roman" w:hAnsi="Times New Roman" w:eastAsia="Times New Roman"/>
          <w:w w:val="80"/>
        </w:rPr>
        <w:t>Ⅱ</w:t>
      </w:r>
      <w:r>
        <w:rPr>
          <w:rFonts w:ascii="Times New Roman" w:hAnsi="Times New Roman" w:eastAsia="Times New Roman"/>
          <w:w w:val="80"/>
        </w:rPr>
        <w:fldChar w:fldCharType="end"/>
      </w:r>
    </w:p>
    <w:p>
      <w:pPr>
        <w:pStyle w:val="5"/>
        <w:spacing w:before="11"/>
        <w:rPr>
          <w:rFonts w:ascii="Times New Roman"/>
          <w:sz w:val="18"/>
        </w:rPr>
      </w:pPr>
    </w:p>
    <w:p>
      <w:pPr>
        <w:pStyle w:val="5"/>
        <w:tabs>
          <w:tab w:val="left" w:leader="dot" w:pos="9525"/>
        </w:tabs>
        <w:ind w:right="229"/>
        <w:jc w:val="right"/>
        <w:rPr>
          <w:rFonts w:hint="eastAsia" w:ascii="微软雅黑" w:hAnsi="微软雅黑" w:eastAsia="微软雅黑"/>
        </w:rPr>
      </w:pPr>
      <w:r>
        <w:t>引言</w:t>
      </w:r>
      <w:r>
        <w:fldChar w:fldCharType="begin"/>
      </w:r>
      <w:r>
        <w:instrText xml:space="preserve"> HYPERLINK \l "_bookmark0" </w:instrText>
      </w:r>
      <w:r>
        <w:fldChar w:fldCharType="separate"/>
      </w:r>
      <w:r>
        <w:tab/>
      </w:r>
      <w:r>
        <w:rPr>
          <w:rFonts w:hint="eastAsia" w:ascii="微软雅黑" w:hAnsi="微软雅黑" w:eastAsia="微软雅黑"/>
          <w:w w:val="95"/>
        </w:rPr>
        <w:t>Ⅲ</w:t>
      </w:r>
      <w:r>
        <w:rPr>
          <w:rFonts w:hint="eastAsia" w:ascii="微软雅黑" w:hAnsi="微软雅黑" w:eastAsia="微软雅黑"/>
          <w:w w:val="95"/>
        </w:rPr>
        <w:fldChar w:fldCharType="end"/>
      </w:r>
    </w:p>
    <w:p>
      <w:pPr>
        <w:pStyle w:val="12"/>
        <w:numPr>
          <w:ilvl w:val="0"/>
          <w:numId w:val="1"/>
        </w:numPr>
        <w:tabs>
          <w:tab w:val="left" w:pos="314"/>
          <w:tab w:val="left" w:pos="315"/>
          <w:tab w:val="right" w:leader="dot" w:pos="9735"/>
        </w:tabs>
        <w:spacing w:before="218" w:after="0" w:line="240" w:lineRule="auto"/>
        <w:ind w:left="414" w:right="228" w:hanging="415"/>
        <w:jc w:val="right"/>
        <w:rPr>
          <w:rFonts w:ascii="Times New Roman" w:eastAsia="Times New Roman"/>
          <w:sz w:val="21"/>
        </w:rPr>
      </w:pPr>
      <w:r>
        <w:fldChar w:fldCharType="begin"/>
      </w:r>
      <w:r>
        <w:instrText xml:space="preserve"> HYPERLINK \l "_bookmark0" </w:instrText>
      </w:r>
      <w:r>
        <w:fldChar w:fldCharType="separate"/>
      </w:r>
      <w:r>
        <w:rPr>
          <w:sz w:val="21"/>
        </w:rPr>
        <w:t>范围</w:t>
      </w:r>
      <w:r>
        <w:rPr>
          <w:sz w:val="21"/>
        </w:rPr>
        <w:tab/>
      </w:r>
      <w:r>
        <w:rPr>
          <w:rFonts w:ascii="Times New Roman" w:eastAsia="Times New Roman"/>
          <w:sz w:val="21"/>
        </w:rPr>
        <w:t>1</w:t>
      </w:r>
      <w:r>
        <w:rPr>
          <w:rFonts w:ascii="Times New Roman" w:eastAsia="Times New Roman"/>
          <w:sz w:val="21"/>
        </w:rPr>
        <w:fldChar w:fldCharType="end"/>
      </w:r>
    </w:p>
    <w:p>
      <w:pPr>
        <w:pStyle w:val="12"/>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sz w:val="21"/>
        </w:rPr>
        <w:t>规范性引用文件</w:t>
      </w:r>
      <w:r>
        <w:rPr>
          <w:sz w:val="21"/>
        </w:rPr>
        <w:tab/>
      </w:r>
      <w:r>
        <w:fldChar w:fldCharType="begin"/>
      </w:r>
      <w:r>
        <w:instrText xml:space="preserve"> HYPERLINK \l "_bookmark0" </w:instrText>
      </w:r>
      <w:r>
        <w:fldChar w:fldCharType="separate"/>
      </w:r>
      <w:r>
        <w:rPr>
          <w:rFonts w:ascii="Times New Roman" w:eastAsia="Times New Roman"/>
          <w:sz w:val="21"/>
        </w:rPr>
        <w:t>1</w:t>
      </w:r>
      <w:r>
        <w:rPr>
          <w:rFonts w:ascii="Times New Roman" w:eastAsia="Times New Roman"/>
          <w:sz w:val="21"/>
        </w:rPr>
        <w:fldChar w:fldCharType="end"/>
      </w:r>
    </w:p>
    <w:p>
      <w:pPr>
        <w:pStyle w:val="12"/>
        <w:numPr>
          <w:ilvl w:val="0"/>
          <w:numId w:val="1"/>
        </w:numPr>
        <w:tabs>
          <w:tab w:val="left" w:pos="314"/>
          <w:tab w:val="left" w:pos="315"/>
          <w:tab w:val="right" w:leader="dot" w:pos="9735"/>
        </w:tabs>
        <w:spacing w:before="198" w:after="0" w:line="240" w:lineRule="auto"/>
        <w:ind w:left="414" w:right="228" w:hanging="415"/>
        <w:jc w:val="right"/>
        <w:rPr>
          <w:rFonts w:ascii="Times New Roman" w:eastAsia="Times New Roman"/>
          <w:sz w:val="21"/>
        </w:rPr>
      </w:pPr>
      <w:r>
        <w:fldChar w:fldCharType="begin"/>
      </w:r>
      <w:r>
        <w:instrText xml:space="preserve"> HYPERLINK \l "_bookmark1" </w:instrText>
      </w:r>
      <w:r>
        <w:fldChar w:fldCharType="separate"/>
      </w:r>
      <w:r>
        <w:rPr>
          <w:sz w:val="21"/>
        </w:rPr>
        <w:t>术语、缩略语</w:t>
      </w:r>
      <w:r>
        <w:rPr>
          <w:sz w:val="21"/>
        </w:rPr>
        <w:tab/>
      </w:r>
      <w:r>
        <w:rPr>
          <w:rFonts w:ascii="Times New Roman" w:eastAsia="Times New Roman"/>
          <w:sz w:val="21"/>
        </w:rPr>
        <w:t>1</w:t>
      </w:r>
      <w:r>
        <w:rPr>
          <w:rFonts w:ascii="Times New Roman" w:eastAsia="Times New Roman"/>
          <w:sz w:val="21"/>
        </w:rPr>
        <w:fldChar w:fldCharType="end"/>
      </w:r>
    </w:p>
    <w:p>
      <w:pPr>
        <w:pStyle w:val="12"/>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sz w:val="21"/>
        </w:rPr>
        <w:t>基本规定</w:t>
      </w:r>
      <w:r>
        <w:rPr>
          <w:sz w:val="21"/>
        </w:rPr>
        <w:tab/>
      </w:r>
      <w:r>
        <w:rPr>
          <w:rFonts w:ascii="Times New Roman" w:eastAsia="Times New Roman"/>
          <w:sz w:val="21"/>
        </w:rPr>
        <w:t>3</w:t>
      </w:r>
    </w:p>
    <w:p>
      <w:pPr>
        <w:pStyle w:val="12"/>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rFonts w:hint="eastAsia"/>
          <w:sz w:val="21"/>
        </w:rPr>
        <w:t>评价程序</w:t>
      </w:r>
      <w:r>
        <w:rPr>
          <w:sz w:val="21"/>
        </w:rPr>
        <w:tab/>
      </w:r>
      <w:r>
        <w:rPr>
          <w:rFonts w:ascii="Times New Roman" w:eastAsia="Times New Roman"/>
          <w:sz w:val="21"/>
        </w:rPr>
        <w:t>6</w:t>
      </w:r>
    </w:p>
    <w:p>
      <w:pPr>
        <w:pStyle w:val="12"/>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sz w:val="21"/>
        </w:rPr>
        <w:t>评价程序</w:t>
      </w:r>
      <w:r>
        <w:rPr>
          <w:rFonts w:hint="eastAsia" w:ascii="宋体" w:hAnsi="宋体" w:eastAsia="宋体" w:cs="宋体"/>
          <w:sz w:val="21"/>
        </w:rPr>
        <w:tab/>
      </w:r>
      <w:r>
        <w:rPr>
          <w:rFonts w:hint="eastAsia" w:ascii="宋体" w:hAnsi="宋体" w:eastAsia="宋体" w:cs="宋体"/>
          <w:sz w:val="21"/>
        </w:rPr>
        <w:t>7</w:t>
      </w:r>
    </w:p>
    <w:p>
      <w:pPr>
        <w:pStyle w:val="12"/>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sz w:val="21"/>
        </w:rPr>
        <w:t>评价框架体系</w:t>
      </w:r>
      <w:r>
        <w:rPr>
          <w:rFonts w:hint="eastAsia" w:ascii="宋体" w:hAnsi="宋体" w:eastAsia="宋体" w:cs="宋体"/>
          <w:sz w:val="21"/>
        </w:rPr>
        <w:tab/>
      </w:r>
      <w:r>
        <w:rPr>
          <w:rFonts w:hint="eastAsia" w:ascii="宋体" w:hAnsi="宋体" w:eastAsia="宋体" w:cs="宋体"/>
          <w:sz w:val="21"/>
        </w:rPr>
        <w:t>9</w:t>
      </w:r>
    </w:p>
    <w:p>
      <w:pPr>
        <w:pStyle w:val="12"/>
        <w:numPr>
          <w:ilvl w:val="0"/>
          <w:numId w:val="1"/>
        </w:numPr>
        <w:tabs>
          <w:tab w:val="left" w:pos="314"/>
          <w:tab w:val="left" w:pos="315"/>
          <w:tab w:val="right" w:leader="dot" w:pos="9735"/>
        </w:tabs>
        <w:spacing w:before="199" w:after="0" w:line="240" w:lineRule="auto"/>
        <w:ind w:left="414" w:right="228" w:hanging="415"/>
        <w:jc w:val="right"/>
        <w:rPr>
          <w:rFonts w:ascii="Times New Roman" w:eastAsia="Times New Roman"/>
          <w:sz w:val="21"/>
        </w:rPr>
      </w:pPr>
      <w:r>
        <w:rPr>
          <w:rFonts w:hint="eastAsia"/>
          <w:sz w:val="21"/>
        </w:rPr>
        <w:t>评价</w:t>
      </w:r>
      <w:r>
        <w:rPr>
          <w:rFonts w:hint="eastAsia"/>
          <w:sz w:val="21"/>
          <w:lang w:eastAsia="zh-CN"/>
        </w:rPr>
        <w:t>方法</w:t>
      </w:r>
      <w:r>
        <w:rPr>
          <w:sz w:val="21"/>
        </w:rPr>
        <w:tab/>
      </w:r>
      <w:r>
        <w:rPr>
          <w:rFonts w:ascii="Times New Roman" w:eastAsia="Times New Roman"/>
          <w:sz w:val="21"/>
        </w:rPr>
        <w:t>6</w:t>
      </w:r>
    </w:p>
    <w:p>
      <w:pPr>
        <w:pStyle w:val="12"/>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sz w:val="21"/>
        </w:rPr>
        <w:t>评价</w:t>
      </w:r>
      <w:r>
        <w:rPr>
          <w:rFonts w:hint="eastAsia"/>
          <w:sz w:val="21"/>
          <w:lang w:eastAsia="zh-CN"/>
        </w:rPr>
        <w:t>方法</w:t>
      </w:r>
      <w:r>
        <w:rPr>
          <w:rFonts w:hint="eastAsia" w:ascii="宋体" w:hAnsi="宋体" w:eastAsia="宋体" w:cs="宋体"/>
          <w:sz w:val="21"/>
        </w:rPr>
        <w:tab/>
      </w:r>
      <w:r>
        <w:rPr>
          <w:rFonts w:hint="eastAsia" w:ascii="宋体" w:hAnsi="宋体" w:eastAsia="宋体" w:cs="宋体"/>
          <w:sz w:val="21"/>
        </w:rPr>
        <w:t>7</w:t>
      </w:r>
    </w:p>
    <w:p>
      <w:pPr>
        <w:pStyle w:val="12"/>
        <w:numPr>
          <w:ilvl w:val="1"/>
          <w:numId w:val="1"/>
        </w:numPr>
        <w:tabs>
          <w:tab w:val="left" w:pos="472"/>
          <w:tab w:val="left" w:pos="473"/>
          <w:tab w:val="right" w:leader="dot" w:pos="9526"/>
        </w:tabs>
        <w:spacing w:before="199" w:after="0" w:line="240" w:lineRule="auto"/>
        <w:ind w:left="781" w:right="228" w:hanging="782"/>
        <w:jc w:val="right"/>
        <w:rPr>
          <w:rFonts w:hint="eastAsia" w:ascii="宋体" w:hAnsi="宋体" w:eastAsia="宋体" w:cs="宋体"/>
          <w:sz w:val="21"/>
        </w:rPr>
      </w:pPr>
      <w:r>
        <w:rPr>
          <w:rFonts w:hint="eastAsia"/>
          <w:sz w:val="21"/>
        </w:rPr>
        <w:t>评价资料</w:t>
      </w:r>
      <w:r>
        <w:rPr>
          <w:rFonts w:hint="eastAsia" w:ascii="宋体" w:hAnsi="宋体" w:eastAsia="宋体" w:cs="宋体"/>
          <w:sz w:val="21"/>
        </w:rPr>
        <w:tab/>
      </w:r>
      <w:r>
        <w:rPr>
          <w:rFonts w:hint="eastAsia" w:ascii="宋体" w:hAnsi="宋体" w:eastAsia="宋体" w:cs="宋体"/>
          <w:sz w:val="21"/>
        </w:rPr>
        <w:t>9</w:t>
      </w:r>
    </w:p>
    <w:p>
      <w:pPr>
        <w:pStyle w:val="12"/>
        <w:numPr>
          <w:ilvl w:val="1"/>
          <w:numId w:val="1"/>
        </w:numPr>
        <w:tabs>
          <w:tab w:val="left" w:pos="472"/>
          <w:tab w:val="left" w:pos="473"/>
          <w:tab w:val="right" w:leader="dot" w:pos="9529"/>
        </w:tabs>
        <w:spacing w:before="199" w:after="0" w:line="240" w:lineRule="auto"/>
        <w:ind w:left="781" w:right="225" w:hanging="782"/>
        <w:jc w:val="right"/>
        <w:rPr>
          <w:rFonts w:hint="eastAsia" w:ascii="宋体" w:hAnsi="宋体" w:eastAsia="宋体" w:cs="宋体"/>
          <w:sz w:val="21"/>
        </w:rPr>
      </w:pPr>
      <w:r>
        <w:rPr>
          <w:rFonts w:hint="eastAsia"/>
          <w:sz w:val="21"/>
        </w:rPr>
        <w:t>评价内容</w:t>
      </w:r>
      <w:r>
        <w:rPr>
          <w:rFonts w:hint="eastAsia" w:ascii="宋体" w:hAnsi="宋体" w:eastAsia="宋体" w:cs="宋体"/>
          <w:sz w:val="21"/>
        </w:rPr>
        <w:tab/>
      </w:r>
      <w:r>
        <w:rPr>
          <w:rFonts w:hint="eastAsia" w:ascii="宋体" w:hAnsi="宋体" w:eastAsia="宋体" w:cs="宋体"/>
          <w:sz w:val="21"/>
        </w:rPr>
        <w:t>11</w:t>
      </w: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
        <w:rPr>
          <w:rFonts w:ascii="黑体"/>
          <w:sz w:val="29"/>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spacing w:before="143"/>
        <w:ind w:left="0" w:right="223" w:firstLine="0"/>
        <w:jc w:val="right"/>
        <w:rPr>
          <w:rFonts w:ascii="Calibri"/>
          <w:sz w:val="18"/>
        </w:rPr>
      </w:pPr>
      <w:r>
        <w:rPr>
          <w:rFonts w:ascii="Calibri"/>
          <w:w w:val="98"/>
          <w:sz w:val="18"/>
        </w:rPr>
        <w:t>I</w:t>
      </w:r>
    </w:p>
    <w:p>
      <w:pPr>
        <w:spacing w:after="0"/>
        <w:jc w:val="right"/>
        <w:rPr>
          <w:rFonts w:ascii="Calibri"/>
          <w:sz w:val="18"/>
        </w:rPr>
        <w:sectPr>
          <w:pgSz w:w="11910" w:h="16840"/>
          <w:pgMar w:top="1580" w:right="860" w:bottom="280" w:left="980" w:header="720" w:footer="720" w:gutter="0"/>
          <w:cols w:space="720" w:num="1"/>
        </w:sectPr>
      </w:pPr>
    </w:p>
    <w:p>
      <w:pPr>
        <w:pStyle w:val="4"/>
        <w:tabs>
          <w:tab w:val="left" w:pos="561"/>
        </w:tabs>
        <w:rPr>
          <w:rFonts w:hint="eastAsia" w:ascii="黑体" w:eastAsia="黑体"/>
        </w:rPr>
      </w:pPr>
      <w:r>
        <w:rPr>
          <w:rFonts w:hint="eastAsia" w:ascii="黑体" w:eastAsia="黑体"/>
        </w:rPr>
        <w:t>前</w:t>
      </w:r>
      <w:r>
        <w:rPr>
          <w:rFonts w:hint="eastAsia" w:ascii="黑体" w:eastAsia="黑体"/>
        </w:rPr>
        <w:tab/>
      </w:r>
      <w:r>
        <w:rPr>
          <w:rFonts w:hint="eastAsia" w:ascii="黑体" w:eastAsia="黑体"/>
        </w:rPr>
        <w:t>言</w:t>
      </w:r>
    </w:p>
    <w:p>
      <w:pPr>
        <w:pStyle w:val="5"/>
        <w:rPr>
          <w:rFonts w:ascii="黑体"/>
          <w:sz w:val="28"/>
        </w:rPr>
      </w:pPr>
    </w:p>
    <w:p>
      <w:pPr>
        <w:pStyle w:val="5"/>
        <w:rPr>
          <w:sz w:val="20"/>
        </w:rPr>
      </w:pPr>
      <w:bookmarkStart w:id="19" w:name="_GoBack"/>
      <w:bookmarkEnd w:id="19"/>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18"/>
        </w:rPr>
      </w:pPr>
    </w:p>
    <w:p>
      <w:pPr>
        <w:spacing w:before="75"/>
        <w:ind w:left="0" w:right="564" w:firstLine="0"/>
        <w:jc w:val="right"/>
        <w:rPr>
          <w:rFonts w:ascii="Calibri"/>
          <w:sz w:val="18"/>
        </w:rPr>
      </w:pPr>
      <w:r>
        <w:rPr>
          <w:rFonts w:ascii="Calibri"/>
          <w:w w:val="95"/>
          <w:sz w:val="18"/>
        </w:rPr>
        <w:t>II</w:t>
      </w:r>
    </w:p>
    <w:p>
      <w:pPr>
        <w:spacing w:after="0"/>
        <w:jc w:val="right"/>
        <w:rPr>
          <w:rFonts w:ascii="Calibri"/>
          <w:sz w:val="18"/>
        </w:rPr>
        <w:sectPr>
          <w:pgSz w:w="11910" w:h="16840"/>
          <w:pgMar w:top="1520" w:right="860" w:bottom="280" w:left="980" w:header="720" w:footer="720" w:gutter="0"/>
          <w:cols w:space="720" w:num="1"/>
        </w:sectPr>
      </w:pPr>
    </w:p>
    <w:p>
      <w:pPr>
        <w:pStyle w:val="4"/>
        <w:tabs>
          <w:tab w:val="left" w:pos="561"/>
        </w:tabs>
        <w:rPr>
          <w:rFonts w:hint="eastAsia" w:ascii="黑体" w:eastAsia="黑体"/>
        </w:rPr>
      </w:pPr>
      <w:r>
        <w:rPr>
          <w:rFonts w:hint="eastAsia" w:ascii="黑体" w:eastAsia="黑体"/>
        </w:rPr>
        <w:t>引</w:t>
      </w:r>
      <w:r>
        <w:rPr>
          <w:rFonts w:hint="eastAsia" w:ascii="黑体" w:eastAsia="黑体"/>
        </w:rPr>
        <w:tab/>
      </w:r>
      <w:r>
        <w:rPr>
          <w:rFonts w:hint="eastAsia" w:ascii="黑体" w:eastAsia="黑体"/>
        </w:rPr>
        <w:t>言</w:t>
      </w:r>
    </w:p>
    <w:p>
      <w:pPr>
        <w:pStyle w:val="5"/>
        <w:rPr>
          <w:rFonts w:ascii="黑体"/>
          <w:sz w:val="28"/>
        </w:rPr>
      </w:pPr>
    </w:p>
    <w:p>
      <w:pPr>
        <w:pStyle w:val="5"/>
        <w:rPr>
          <w:rFonts w:ascii="黑体"/>
          <w:sz w:val="29"/>
        </w:rPr>
      </w:pPr>
    </w:p>
    <w:p>
      <w:pPr>
        <w:spacing w:before="0" w:line="487" w:lineRule="auto"/>
        <w:ind w:left="100" w:right="217" w:firstLine="480"/>
        <w:jc w:val="left"/>
        <w:rPr>
          <w:rFonts w:hint="eastAsia"/>
          <w:lang w:eastAsia="zh-CN"/>
        </w:rPr>
      </w:pPr>
      <w:r>
        <w:rPr>
          <w:rFonts w:hint="eastAsia"/>
        </w:rPr>
        <w:t>为落实青岛市住房和城乡建设局《青岛市建筑工程智慧化工地建设实施方案（试行）》，推动智能建造，规范和推进我市智慧化工地建设，提高房屋建筑工程建设数字化水平，助推我市房屋建筑工程高质量发展，制定本标准</w:t>
      </w:r>
      <w:r>
        <w:rPr>
          <w:rFonts w:hint="eastAsia"/>
          <w:lang w:eastAsia="zh-CN"/>
        </w:rPr>
        <w:t>。</w:t>
      </w:r>
    </w:p>
    <w:p>
      <w:pPr>
        <w:pStyle w:val="2"/>
        <w:rPr>
          <w:rFonts w:hint="eastAsia"/>
          <w:lang w:eastAsia="zh-CN"/>
        </w:rPr>
      </w:pPr>
    </w:p>
    <w:p>
      <w:pPr>
        <w:spacing w:before="0" w:line="487" w:lineRule="auto"/>
        <w:ind w:left="100" w:right="217" w:firstLine="480"/>
        <w:jc w:val="left"/>
        <w:rPr>
          <w:rFonts w:hint="eastAsia" w:ascii="宋体" w:hAnsi="宋体" w:eastAsia="宋体" w:cs="宋体"/>
          <w:sz w:val="21"/>
          <w:szCs w:val="22"/>
          <w:lang w:val="zh-CN" w:eastAsia="zh-CN" w:bidi="zh-CN"/>
        </w:rPr>
      </w:pPr>
      <w:r>
        <w:rPr>
          <w:rFonts w:hint="eastAsia" w:ascii="宋体" w:hAnsi="宋体" w:eastAsia="宋体" w:cs="宋体"/>
          <w:sz w:val="21"/>
          <w:szCs w:val="22"/>
          <w:lang w:val="zh-CN" w:eastAsia="zh-CN" w:bidi="zh-CN"/>
        </w:rPr>
        <w:t>为推动“数字青岛”建设，全面推行“互联网+管理”模式，以信息化手段加强房屋建筑工程质量安全管理，大力促进信息共享和业务协同，提高行业监管效率、管理水平和决策能力，助推我市建筑业高质量发展，指导房屋建筑工程智慧化工地建设，制定本标准。</w:t>
      </w:r>
    </w:p>
    <w:p>
      <w:pPr>
        <w:pStyle w:val="2"/>
        <w:rPr>
          <w:rFonts w:hint="eastAsia" w:ascii="宋体" w:hAnsi="宋体" w:eastAsia="宋体" w:cs="宋体"/>
          <w:sz w:val="21"/>
          <w:szCs w:val="22"/>
          <w:lang w:val="zh-CN" w:eastAsia="zh-CN" w:bidi="zh-CN"/>
        </w:rPr>
      </w:pPr>
    </w:p>
    <w:p>
      <w:pPr>
        <w:pStyle w:val="2"/>
        <w:rPr>
          <w:rFonts w:hint="eastAsia" w:ascii="宋体" w:hAnsi="宋体" w:eastAsia="宋体" w:cs="宋体"/>
          <w:sz w:val="21"/>
          <w:szCs w:val="22"/>
          <w:lang w:val="zh-CN" w:eastAsia="zh-CN" w:bidi="zh-CN"/>
        </w:rPr>
      </w:pPr>
    </w:p>
    <w:p>
      <w:pPr>
        <w:pStyle w:val="2"/>
        <w:rPr>
          <w:rFonts w:hint="eastAsia" w:ascii="宋体" w:hAnsi="宋体" w:eastAsia="宋体" w:cs="宋体"/>
          <w:color w:val="auto"/>
          <w:sz w:val="22"/>
          <w:szCs w:val="22"/>
          <w:lang w:val="zh-CN" w:eastAsia="zh-CN" w:bidi="zh-CN"/>
        </w:rPr>
      </w:pPr>
    </w:p>
    <w:p>
      <w:pPr>
        <w:pStyle w:val="2"/>
        <w:spacing w:line="360" w:lineRule="auto"/>
        <w:ind w:firstLine="720" w:firstLineChars="0"/>
        <w:rPr>
          <w:rFonts w:hint="eastAsia" w:ascii="宋体" w:hAnsi="宋体" w:eastAsia="宋体" w:cs="宋体"/>
          <w:color w:val="auto"/>
          <w:sz w:val="22"/>
          <w:szCs w:val="22"/>
          <w:lang w:val="zh-CN" w:eastAsia="zh-CN" w:bidi="zh-CN"/>
        </w:rPr>
      </w:pPr>
      <w:r>
        <w:rPr>
          <w:rFonts w:hint="eastAsia" w:ascii="宋体" w:hAnsi="宋体" w:eastAsia="宋体" w:cs="宋体"/>
          <w:color w:val="auto"/>
          <w:sz w:val="22"/>
          <w:szCs w:val="22"/>
          <w:lang w:val="zh-CN" w:eastAsia="zh-CN" w:bidi="zh-CN"/>
        </w:rPr>
        <w:t>为落实《青岛市建筑工程智慧化工地建设实施方案（试行）》、实施《智慧化工地建设标准》，规范和推进我市</w:t>
      </w:r>
      <w:r>
        <w:rPr>
          <w:rFonts w:hint="eastAsia" w:ascii="宋体" w:hAnsi="宋体" w:eastAsia="宋体" w:cs="宋体"/>
          <w:sz w:val="21"/>
          <w:szCs w:val="22"/>
          <w:lang w:val="zh-CN" w:eastAsia="zh-CN" w:bidi="zh-CN"/>
        </w:rPr>
        <w:t>房屋建筑工程</w:t>
      </w:r>
      <w:r>
        <w:rPr>
          <w:rFonts w:hint="eastAsia" w:ascii="宋体" w:hAnsi="宋体" w:eastAsia="宋体" w:cs="宋体"/>
          <w:color w:val="auto"/>
          <w:sz w:val="22"/>
          <w:szCs w:val="22"/>
          <w:lang w:val="zh-CN" w:eastAsia="zh-CN" w:bidi="zh-CN"/>
        </w:rPr>
        <w:t>智慧化工地建设，</w:t>
      </w:r>
      <w:r>
        <w:rPr>
          <w:rFonts w:hint="eastAsia" w:ascii="宋体" w:hAnsi="宋体" w:eastAsia="宋体" w:cs="宋体"/>
          <w:sz w:val="21"/>
          <w:szCs w:val="22"/>
          <w:lang w:val="zh-CN" w:eastAsia="zh-CN" w:bidi="zh-CN"/>
        </w:rPr>
        <w:t>指导智慧化工地评价工作，</w:t>
      </w:r>
      <w:r>
        <w:rPr>
          <w:rFonts w:hint="eastAsia" w:ascii="宋体" w:hAnsi="宋体" w:eastAsia="宋体" w:cs="宋体"/>
          <w:color w:val="auto"/>
          <w:sz w:val="22"/>
          <w:szCs w:val="22"/>
          <w:lang w:val="zh-CN" w:eastAsia="zh-CN" w:bidi="zh-CN"/>
        </w:rPr>
        <w:t>制定本标准。</w:t>
      </w:r>
    </w:p>
    <w:p>
      <w:pPr>
        <w:pStyle w:val="2"/>
        <w:spacing w:line="360" w:lineRule="auto"/>
        <w:ind w:firstLine="720" w:firstLineChars="0"/>
        <w:rPr>
          <w:rFonts w:hint="eastAsia" w:ascii="宋体" w:hAnsi="宋体" w:eastAsia="宋体" w:cs="宋体"/>
          <w:color w:val="auto"/>
          <w:sz w:val="22"/>
          <w:szCs w:val="22"/>
          <w:lang w:val="en-US" w:eastAsia="zh-CN" w:bidi="zh-CN"/>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27"/>
        </w:rPr>
      </w:pPr>
    </w:p>
    <w:p>
      <w:pPr>
        <w:spacing w:before="75"/>
        <w:ind w:left="0" w:right="521" w:firstLine="0"/>
        <w:jc w:val="right"/>
        <w:rPr>
          <w:rFonts w:ascii="Calibri"/>
          <w:sz w:val="18"/>
        </w:rPr>
      </w:pPr>
      <w:r>
        <w:rPr>
          <w:rFonts w:ascii="Calibri"/>
          <w:w w:val="95"/>
          <w:sz w:val="18"/>
        </w:rPr>
        <w:t>III</w:t>
      </w:r>
    </w:p>
    <w:p>
      <w:pPr>
        <w:spacing w:after="0"/>
        <w:jc w:val="right"/>
        <w:rPr>
          <w:rFonts w:ascii="Calibri"/>
          <w:sz w:val="18"/>
        </w:rPr>
        <w:sectPr>
          <w:pgSz w:w="11910" w:h="16840"/>
          <w:pgMar w:top="1520" w:right="860" w:bottom="280" w:left="980" w:header="720" w:footer="720" w:gutter="0"/>
          <w:cols w:space="720" w:num="1"/>
        </w:sectPr>
      </w:pPr>
    </w:p>
    <w:p>
      <w:pPr>
        <w:spacing w:before="43"/>
        <w:ind w:left="441" w:right="562" w:firstLine="0"/>
        <w:jc w:val="center"/>
        <w:rPr>
          <w:rFonts w:hint="eastAsia"/>
          <w:sz w:val="30"/>
        </w:rPr>
      </w:pPr>
      <w:bookmarkStart w:id="0" w:name="_bookmark0"/>
      <w:bookmarkEnd w:id="0"/>
      <w:r>
        <w:rPr>
          <w:rFonts w:hint="eastAsia"/>
          <w:sz w:val="30"/>
        </w:rPr>
        <w:t>智慧化工地</w:t>
      </w:r>
      <w:r>
        <w:rPr>
          <w:rFonts w:hint="eastAsia"/>
          <w:sz w:val="30"/>
          <w:lang w:eastAsia="zh-CN"/>
        </w:rPr>
        <w:t>评价</w:t>
      </w:r>
      <w:r>
        <w:rPr>
          <w:rFonts w:hint="eastAsia"/>
          <w:sz w:val="30"/>
        </w:rPr>
        <w:t>标准</w:t>
      </w:r>
    </w:p>
    <w:p>
      <w:pPr>
        <w:pStyle w:val="5"/>
        <w:rPr>
          <w:sz w:val="20"/>
        </w:rPr>
      </w:pPr>
    </w:p>
    <w:p>
      <w:pPr>
        <w:pStyle w:val="5"/>
        <w:spacing w:before="7"/>
      </w:pPr>
    </w:p>
    <w:p>
      <w:pPr>
        <w:pStyle w:val="12"/>
        <w:numPr>
          <w:ilvl w:val="0"/>
          <w:numId w:val="0"/>
        </w:numPr>
        <w:tabs>
          <w:tab w:val="left" w:pos="256"/>
        </w:tabs>
        <w:spacing w:before="77" w:after="0" w:line="240" w:lineRule="auto"/>
        <w:ind w:right="0" w:rightChars="0"/>
        <w:jc w:val="left"/>
        <w:rPr>
          <w:rFonts w:hint="eastAsia" w:ascii="黑体" w:eastAsia="黑体"/>
          <w:sz w:val="21"/>
        </w:rPr>
      </w:pPr>
      <w:bookmarkStart w:id="1" w:name="1范围"/>
      <w:bookmarkEnd w:id="1"/>
      <w:bookmarkStart w:id="2" w:name="1范围"/>
      <w:bookmarkEnd w:id="2"/>
      <w:r>
        <w:rPr>
          <w:rFonts w:hint="eastAsia" w:ascii="黑体" w:eastAsia="黑体"/>
          <w:sz w:val="21"/>
          <w:lang w:val="en-US" w:eastAsia="zh-CN"/>
        </w:rPr>
        <w:t xml:space="preserve">1 </w:t>
      </w:r>
      <w:r>
        <w:rPr>
          <w:rFonts w:hint="eastAsia" w:ascii="黑体" w:eastAsia="黑体"/>
          <w:sz w:val="21"/>
        </w:rPr>
        <w:t>范围</w:t>
      </w:r>
    </w:p>
    <w:p>
      <w:pPr>
        <w:pStyle w:val="5"/>
        <w:spacing w:before="5"/>
        <w:rPr>
          <w:rFonts w:ascii="黑体"/>
        </w:rPr>
      </w:pPr>
    </w:p>
    <w:p>
      <w:pPr>
        <w:pStyle w:val="12"/>
        <w:numPr>
          <w:ilvl w:val="0"/>
          <w:numId w:val="0"/>
        </w:numPr>
        <w:tabs>
          <w:tab w:val="left" w:pos="626"/>
        </w:tabs>
        <w:spacing w:before="0" w:after="0" w:line="240" w:lineRule="auto"/>
        <w:ind w:right="0" w:rightChars="0"/>
        <w:jc w:val="left"/>
        <w:rPr>
          <w:sz w:val="21"/>
        </w:rPr>
      </w:pPr>
      <w:r>
        <w:rPr>
          <w:rFonts w:hint="eastAsia"/>
          <w:lang w:val="en-US" w:eastAsia="zh-CN"/>
        </w:rPr>
        <w:t>1.0.1</w:t>
      </w:r>
      <w:r>
        <w:rPr>
          <w:rFonts w:hint="eastAsia"/>
        </w:rPr>
        <w:t>本标准适用于</w:t>
      </w:r>
      <w:r>
        <w:rPr>
          <w:rFonts w:hint="eastAsia"/>
          <w:lang w:eastAsia="zh-CN"/>
        </w:rPr>
        <w:t>青岛市</w:t>
      </w:r>
      <w:r>
        <w:rPr>
          <w:rFonts w:hint="eastAsia"/>
        </w:rPr>
        <w:t>房屋建筑工程智慧化工地评价</w:t>
      </w:r>
      <w:r>
        <w:rPr>
          <w:rFonts w:hint="eastAsia"/>
          <w:lang w:eastAsia="zh-CN"/>
        </w:rPr>
        <w:t>工作</w:t>
      </w:r>
      <w:r>
        <w:rPr>
          <w:sz w:val="21"/>
        </w:rPr>
        <w:t>。</w:t>
      </w:r>
    </w:p>
    <w:p>
      <w:pPr>
        <w:pStyle w:val="12"/>
        <w:numPr>
          <w:ilvl w:val="0"/>
          <w:numId w:val="0"/>
        </w:numPr>
        <w:tabs>
          <w:tab w:val="left" w:pos="626"/>
        </w:tabs>
        <w:spacing w:before="0" w:after="0" w:line="240" w:lineRule="auto"/>
        <w:ind w:left="99" w:leftChars="0" w:right="0" w:rightChars="0"/>
        <w:jc w:val="left"/>
        <w:rPr>
          <w:sz w:val="21"/>
        </w:rPr>
      </w:pPr>
    </w:p>
    <w:p>
      <w:pPr>
        <w:pStyle w:val="12"/>
        <w:numPr>
          <w:ilvl w:val="0"/>
          <w:numId w:val="0"/>
        </w:numPr>
        <w:tabs>
          <w:tab w:val="left" w:pos="626"/>
        </w:tabs>
        <w:spacing w:before="0" w:after="0" w:line="240" w:lineRule="auto"/>
        <w:ind w:right="0" w:rightChars="0"/>
        <w:jc w:val="left"/>
        <w:rPr>
          <w:sz w:val="21"/>
        </w:rPr>
      </w:pPr>
      <w:r>
        <w:rPr>
          <w:rFonts w:hint="eastAsia"/>
          <w:sz w:val="21"/>
          <w:lang w:val="en-US" w:eastAsia="zh-CN"/>
        </w:rPr>
        <w:t>1.0.2</w:t>
      </w:r>
      <w:r>
        <w:rPr>
          <w:rFonts w:hint="eastAsia"/>
          <w:sz w:val="21"/>
        </w:rPr>
        <w:t>青岛市智慧化工地</w:t>
      </w:r>
      <w:r>
        <w:rPr>
          <w:rFonts w:hint="eastAsia"/>
          <w:sz w:val="21"/>
          <w:lang w:eastAsia="zh-CN"/>
        </w:rPr>
        <w:t>评价</w:t>
      </w:r>
      <w:r>
        <w:rPr>
          <w:rFonts w:hint="eastAsia"/>
          <w:sz w:val="21"/>
        </w:rPr>
        <w:t>除应符合本标准外，尚应符合国家、省及青岛市现行有关标准的规定</w:t>
      </w:r>
      <w:r>
        <w:rPr>
          <w:sz w:val="21"/>
        </w:rPr>
        <w:t>。</w:t>
      </w:r>
    </w:p>
    <w:p>
      <w:pPr>
        <w:pStyle w:val="5"/>
        <w:spacing w:before="11"/>
        <w:rPr>
          <w:sz w:val="17"/>
        </w:rPr>
      </w:pPr>
    </w:p>
    <w:p>
      <w:pPr>
        <w:pStyle w:val="12"/>
        <w:numPr>
          <w:ilvl w:val="0"/>
          <w:numId w:val="0"/>
        </w:numPr>
        <w:tabs>
          <w:tab w:val="left" w:pos="309"/>
        </w:tabs>
        <w:spacing w:before="0" w:after="0" w:line="240" w:lineRule="auto"/>
        <w:ind w:right="0" w:rightChars="0"/>
        <w:jc w:val="left"/>
        <w:rPr>
          <w:rFonts w:hint="eastAsia" w:ascii="黑体" w:eastAsia="黑体"/>
          <w:sz w:val="21"/>
        </w:rPr>
      </w:pPr>
      <w:r>
        <w:rPr>
          <w:rFonts w:hint="eastAsia" w:ascii="黑体" w:eastAsia="黑体"/>
          <w:sz w:val="21"/>
          <w:lang w:val="en-US" w:eastAsia="zh-CN"/>
        </w:rPr>
        <w:t xml:space="preserve">2 </w:t>
      </w:r>
      <w:r>
        <w:rPr>
          <w:rFonts w:hint="eastAsia" w:ascii="黑体" w:eastAsia="黑体"/>
          <w:sz w:val="21"/>
        </w:rPr>
        <w:t>规范性引用文件</w:t>
      </w:r>
    </w:p>
    <w:p>
      <w:pPr>
        <w:pStyle w:val="5"/>
        <w:spacing w:line="278" w:lineRule="auto"/>
        <w:ind w:left="100" w:right="48" w:firstLine="420"/>
        <w:rPr>
          <w:w w:val="95"/>
        </w:rPr>
      </w:pPr>
    </w:p>
    <w:p>
      <w:pPr>
        <w:pStyle w:val="5"/>
        <w:spacing w:line="278" w:lineRule="auto"/>
        <w:ind w:left="100" w:right="48" w:firstLine="420"/>
      </w:pPr>
      <w:r>
        <w:rPr>
          <w:w w:val="95"/>
        </w:rPr>
        <w:t>下列文件对于本文件的应用是必不可少的。凡是注日期的引用文件，仅所注日期的版本适应于本文件。</w:t>
      </w:r>
      <w:r>
        <w:t>凡是不注日期的引用文件，其最新版本（包括所有修改单）适用于本文件。</w:t>
      </w:r>
    </w:p>
    <w:p>
      <w:pPr>
        <w:pStyle w:val="5"/>
        <w:spacing w:before="135"/>
        <w:ind w:left="520"/>
      </w:pPr>
      <w:r>
        <w:rPr>
          <w:rFonts w:ascii="Times New Roman" w:eastAsia="Times New Roman"/>
        </w:rPr>
        <w:t>GB</w:t>
      </w:r>
      <w:r>
        <w:t>／</w:t>
      </w:r>
      <w:r>
        <w:rPr>
          <w:rFonts w:ascii="Times New Roman" w:eastAsia="Times New Roman"/>
        </w:rPr>
        <w:t xml:space="preserve">T 31167-2014 </w:t>
      </w:r>
      <w:r>
        <w:t>信息安全技术云计算服务安全指南</w:t>
      </w:r>
    </w:p>
    <w:p>
      <w:pPr>
        <w:pStyle w:val="5"/>
        <w:spacing w:before="7"/>
        <w:rPr>
          <w:sz w:val="15"/>
        </w:rPr>
      </w:pPr>
    </w:p>
    <w:p>
      <w:pPr>
        <w:pStyle w:val="5"/>
        <w:ind w:left="520"/>
      </w:pPr>
      <w:r>
        <w:rPr>
          <w:rFonts w:ascii="Times New Roman" w:eastAsia="Times New Roman"/>
        </w:rPr>
        <w:t>GB</w:t>
      </w:r>
      <w:r>
        <w:t>／</w:t>
      </w:r>
      <w:r>
        <w:rPr>
          <w:rFonts w:ascii="Times New Roman" w:eastAsia="Times New Roman"/>
        </w:rPr>
        <w:t xml:space="preserve">T 36951-2018 </w:t>
      </w:r>
      <w:r>
        <w:t>信息安全技术物联网感知终端应用安全技术要求</w:t>
      </w:r>
    </w:p>
    <w:p>
      <w:pPr>
        <w:pStyle w:val="5"/>
        <w:spacing w:before="6"/>
        <w:rPr>
          <w:sz w:val="15"/>
        </w:rPr>
      </w:pPr>
    </w:p>
    <w:p>
      <w:pPr>
        <w:pStyle w:val="5"/>
        <w:spacing w:before="1"/>
        <w:ind w:left="520"/>
      </w:pPr>
      <w:r>
        <w:rPr>
          <w:rFonts w:ascii="Times New Roman" w:eastAsia="Times New Roman"/>
        </w:rPr>
        <w:t xml:space="preserve">GB/T 25069-2010 </w:t>
      </w:r>
      <w:r>
        <w:t>信息安全技术术语</w:t>
      </w:r>
    </w:p>
    <w:p>
      <w:pPr>
        <w:pStyle w:val="5"/>
        <w:rPr>
          <w:sz w:val="22"/>
        </w:rPr>
      </w:pPr>
    </w:p>
    <w:p>
      <w:pPr>
        <w:pStyle w:val="5"/>
        <w:spacing w:before="11"/>
        <w:rPr>
          <w:sz w:val="17"/>
        </w:rPr>
      </w:pPr>
    </w:p>
    <w:p>
      <w:pPr>
        <w:pStyle w:val="12"/>
        <w:numPr>
          <w:ilvl w:val="0"/>
          <w:numId w:val="0"/>
        </w:numPr>
        <w:tabs>
          <w:tab w:val="left" w:pos="256"/>
        </w:tabs>
        <w:spacing w:before="0" w:after="0" w:line="240" w:lineRule="auto"/>
        <w:ind w:left="100" w:leftChars="0" w:right="0" w:rightChars="0"/>
        <w:jc w:val="left"/>
        <w:rPr>
          <w:rFonts w:hint="eastAsia" w:ascii="黑体" w:eastAsia="黑体"/>
          <w:sz w:val="21"/>
        </w:rPr>
      </w:pPr>
      <w:r>
        <w:rPr>
          <w:rFonts w:hint="eastAsia" w:ascii="黑体" w:eastAsia="黑体"/>
          <w:sz w:val="21"/>
          <w:lang w:val="en-US" w:eastAsia="zh-CN"/>
        </w:rPr>
        <w:t xml:space="preserve">3 </w:t>
      </w:r>
      <w:r>
        <w:rPr>
          <w:rFonts w:hint="eastAsia" w:ascii="黑体" w:eastAsia="黑体"/>
          <w:sz w:val="21"/>
        </w:rPr>
        <w:t>术语</w:t>
      </w:r>
    </w:p>
    <w:p>
      <w:pPr>
        <w:pStyle w:val="5"/>
        <w:spacing w:before="6"/>
        <w:rPr>
          <w:rFonts w:ascii="黑体"/>
          <w:sz w:val="15"/>
        </w:rPr>
      </w:pPr>
      <w:bookmarkStart w:id="3" w:name="3.1 术语"/>
      <w:bookmarkEnd w:id="3"/>
      <w:bookmarkStart w:id="4" w:name="3.1 术语"/>
      <w:bookmarkEnd w:id="4"/>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bookmarkStart w:id="5" w:name="3.1.1智慧工地 smart construction site"/>
      <w:bookmarkEnd w:id="5"/>
      <w:bookmarkStart w:id="6" w:name="3.1.1智慧工地 smart construction site"/>
      <w:bookmarkEnd w:id="6"/>
      <w:r>
        <w:rPr>
          <w:rFonts w:hint="eastAsia" w:ascii="黑体" w:eastAsia="黑体"/>
          <w:spacing w:val="-1"/>
          <w:sz w:val="21"/>
          <w:lang w:val="en-US" w:eastAsia="zh-CN"/>
        </w:rPr>
        <w:t>3.0.1</w:t>
      </w:r>
      <w:r>
        <w:rPr>
          <w:rFonts w:hint="eastAsia" w:ascii="黑体" w:eastAsia="黑体"/>
          <w:spacing w:val="-1"/>
          <w:sz w:val="21"/>
        </w:rPr>
        <w:t>智慧</w:t>
      </w:r>
      <w:r>
        <w:rPr>
          <w:rFonts w:hint="eastAsia" w:ascii="黑体" w:eastAsia="黑体"/>
          <w:spacing w:val="-1"/>
          <w:sz w:val="21"/>
          <w:lang w:eastAsia="zh-CN"/>
        </w:rPr>
        <w:t>化</w:t>
      </w:r>
      <w:r>
        <w:rPr>
          <w:rFonts w:hint="eastAsia" w:ascii="黑体" w:eastAsia="黑体"/>
          <w:spacing w:val="-1"/>
          <w:sz w:val="21"/>
        </w:rPr>
        <w:t xml:space="preserve">工地 </w:t>
      </w:r>
      <w:r>
        <w:rPr>
          <w:rFonts w:ascii="Times New Roman" w:eastAsia="Times New Roman"/>
          <w:sz w:val="21"/>
        </w:rPr>
        <w:t>smart</w:t>
      </w:r>
      <w:r>
        <w:rPr>
          <w:rFonts w:ascii="Times New Roman" w:eastAsia="Times New Roman"/>
          <w:spacing w:val="2"/>
          <w:sz w:val="21"/>
        </w:rPr>
        <w:t xml:space="preserve"> </w:t>
      </w:r>
      <w:r>
        <w:rPr>
          <w:rFonts w:ascii="Times New Roman" w:eastAsia="Times New Roman"/>
          <w:sz w:val="21"/>
        </w:rPr>
        <w:t>construction</w:t>
      </w:r>
      <w:r>
        <w:rPr>
          <w:rFonts w:ascii="Times New Roman" w:eastAsia="Times New Roman"/>
          <w:spacing w:val="-1"/>
          <w:sz w:val="21"/>
        </w:rPr>
        <w:t xml:space="preserve"> </w:t>
      </w:r>
      <w:r>
        <w:rPr>
          <w:rFonts w:ascii="Times New Roman" w:eastAsia="Times New Roman"/>
          <w:sz w:val="21"/>
        </w:rPr>
        <w:t>site</w:t>
      </w:r>
    </w:p>
    <w:p>
      <w:pPr>
        <w:pStyle w:val="5"/>
        <w:spacing w:line="417" w:lineRule="auto"/>
        <w:ind w:left="100" w:right="220" w:firstLine="420"/>
        <w:jc w:val="both"/>
      </w:pPr>
      <w:r>
        <w:rPr>
          <w:rFonts w:hint="eastAsia"/>
        </w:rPr>
        <w:t>应用物联网、</w:t>
      </w:r>
      <w:r>
        <w:t>云计算</w:t>
      </w:r>
      <w:r>
        <w:rPr>
          <w:rFonts w:hint="eastAsia"/>
        </w:rPr>
        <w:t>、</w:t>
      </w:r>
      <w:r>
        <w:t>大数据等</w:t>
      </w:r>
      <w:r>
        <w:rPr>
          <w:rFonts w:hint="eastAsia"/>
        </w:rPr>
        <w:t>现代</w:t>
      </w:r>
      <w:r>
        <w:t>信息技术，</w:t>
      </w:r>
      <w:r>
        <w:rPr>
          <w:rFonts w:hint="eastAsia"/>
        </w:rPr>
        <w:t>支持对人和物全面感知、施工技术智能管理、工作协同、信息共享，辅助科学决策、实现风险智慧预控，具有数字化、网络化、信息化、协同化特点的智能建造工地</w:t>
      </w:r>
      <w:r>
        <w:t>。</w:t>
      </w:r>
    </w:p>
    <w:p>
      <w:pPr>
        <w:pStyle w:val="12"/>
        <w:numPr>
          <w:ilvl w:val="0"/>
          <w:numId w:val="0"/>
        </w:numPr>
        <w:tabs>
          <w:tab w:val="left" w:pos="573"/>
        </w:tabs>
        <w:spacing w:before="0" w:after="0" w:line="240" w:lineRule="auto"/>
        <w:ind w:left="99" w:leftChars="0" w:right="0" w:rightChars="0"/>
        <w:jc w:val="left"/>
        <w:rPr>
          <w:rFonts w:hint="eastAsia" w:ascii="黑体" w:eastAsia="黑体"/>
          <w:spacing w:val="-1"/>
          <w:sz w:val="21"/>
          <w:lang w:val="en-US" w:eastAsia="zh-CN"/>
        </w:rPr>
      </w:pPr>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3.0.2</w:t>
      </w:r>
      <w:r>
        <w:rPr>
          <w:rFonts w:hint="eastAsia" w:ascii="黑体" w:eastAsia="黑体"/>
          <w:spacing w:val="-1"/>
          <w:sz w:val="21"/>
        </w:rPr>
        <w:t xml:space="preserve">智慧化工地基础设施 </w:t>
      </w:r>
      <w:r>
        <w:rPr>
          <w:rFonts w:hint="default" w:ascii="Times New Roman" w:hAnsi="Times New Roman" w:eastAsia="宋体" w:cs="Times New Roman"/>
          <w:color w:val="000000"/>
          <w:kern w:val="0"/>
          <w:sz w:val="24"/>
          <w:szCs w:val="24"/>
          <w:lang w:val="en-US" w:eastAsia="zh-CN" w:bidi="ar"/>
        </w:rPr>
        <w:t>infrastructure of smart construction site</w:t>
      </w:r>
    </w:p>
    <w:p>
      <w:pPr>
        <w:pStyle w:val="5"/>
        <w:spacing w:line="417" w:lineRule="auto"/>
        <w:ind w:left="100" w:right="220" w:firstLine="420"/>
        <w:jc w:val="both"/>
        <w:rPr>
          <w:rFonts w:hint="eastAsia" w:ascii="仿宋" w:hAnsi="仿宋" w:eastAsia="仿宋"/>
          <w:sz w:val="24"/>
          <w:szCs w:val="24"/>
        </w:rPr>
      </w:pPr>
      <w:r>
        <w:rPr>
          <w:rFonts w:hint="eastAsia"/>
        </w:rPr>
        <w:t>用于智慧化工地收集、传输、处理、显示各类信息的软硬件设施，包括各类传感器、自动识别装置、网关、路由器、服务器、显示屏等设备及软件技术平台相关集成设施。</w:t>
      </w:r>
    </w:p>
    <w:p>
      <w:pPr>
        <w:pStyle w:val="12"/>
        <w:numPr>
          <w:ilvl w:val="0"/>
          <w:numId w:val="0"/>
        </w:numPr>
        <w:tabs>
          <w:tab w:val="left" w:pos="573"/>
        </w:tabs>
        <w:spacing w:before="0" w:after="0" w:line="240" w:lineRule="auto"/>
        <w:ind w:left="99" w:leftChars="0" w:right="0" w:rightChars="0"/>
        <w:jc w:val="left"/>
        <w:rPr>
          <w:rFonts w:hint="eastAsia" w:ascii="黑体" w:eastAsia="黑体"/>
          <w:spacing w:val="-1"/>
          <w:sz w:val="21"/>
          <w:lang w:val="en-US" w:eastAsia="zh-CN"/>
        </w:rPr>
      </w:pPr>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3.0.3</w:t>
      </w:r>
      <w:r>
        <w:rPr>
          <w:rFonts w:hint="eastAsia" w:ascii="黑体" w:eastAsia="黑体"/>
          <w:spacing w:val="-1"/>
          <w:sz w:val="21"/>
        </w:rPr>
        <w:t xml:space="preserve">项目智慧化管理平台 </w:t>
      </w:r>
      <w:r>
        <w:rPr>
          <w:rFonts w:hint="eastAsia" w:ascii="Times New Roman" w:eastAsia="Times New Roman"/>
          <w:sz w:val="21"/>
        </w:rPr>
        <w:t>Intelligent project management platform</w:t>
      </w: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项目智慧化管理平台(简称项目平台),是应用于智慧化工地施工现场的信息管理系统，实现对工地现场人员、物资、设备、技术、环境等要素全面采集、监测、管理，数据共享和协同运作，并与企业平台、行业平台对接。</w:t>
      </w:r>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3.0.4</w:t>
      </w:r>
      <w:r>
        <w:rPr>
          <w:rFonts w:hint="eastAsia" w:ascii="黑体" w:eastAsia="黑体"/>
          <w:spacing w:val="-1"/>
          <w:sz w:val="21"/>
        </w:rPr>
        <w:t xml:space="preserve">企业智慧化管理平台 </w:t>
      </w:r>
      <w:r>
        <w:rPr>
          <w:rFonts w:hint="eastAsia" w:ascii="Times New Roman" w:eastAsia="Times New Roman"/>
          <w:sz w:val="21"/>
        </w:rPr>
        <w:t>Intelligent Enterprise management platform</w:t>
      </w:r>
    </w:p>
    <w:p>
      <w:pPr>
        <w:pStyle w:val="5"/>
        <w:spacing w:before="3"/>
        <w:rPr>
          <w:rFonts w:ascii="Times New Roman"/>
          <w:sz w:val="17"/>
        </w:rPr>
      </w:pP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企业智慧化管理平台（简称企业平台），是各参建主体或相关机构对智慧化工地建设过程进行管理的系统，满足企业或机构对智慧化工地管理的要求，具备企业对智慧化工地各要素统计分析、预警、处理及管理功能。</w:t>
      </w:r>
    </w:p>
    <w:p>
      <w:pPr>
        <w:pStyle w:val="12"/>
        <w:numPr>
          <w:ilvl w:val="0"/>
          <w:numId w:val="0"/>
        </w:numPr>
        <w:tabs>
          <w:tab w:val="left" w:pos="573"/>
        </w:tabs>
        <w:spacing w:before="0" w:after="0" w:line="240" w:lineRule="auto"/>
        <w:ind w:left="99" w:leftChars="0" w:right="0" w:rightChars="0"/>
        <w:jc w:val="left"/>
        <w:rPr>
          <w:rFonts w:hint="eastAsia" w:ascii="黑体" w:eastAsia="黑体"/>
          <w:spacing w:val="-1"/>
          <w:sz w:val="21"/>
          <w:lang w:val="en-US" w:eastAsia="zh-CN"/>
        </w:rPr>
      </w:pPr>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3.0.5</w:t>
      </w:r>
      <w:r>
        <w:rPr>
          <w:rFonts w:hint="eastAsia" w:ascii="黑体" w:eastAsia="黑体"/>
          <w:spacing w:val="-1"/>
          <w:sz w:val="21"/>
        </w:rPr>
        <w:t xml:space="preserve">行业智慧化服务平台 </w:t>
      </w:r>
      <w:r>
        <w:rPr>
          <w:rFonts w:hint="eastAsia" w:ascii="Times New Roman" w:eastAsia="Times New Roman"/>
          <w:sz w:val="21"/>
        </w:rPr>
        <w:t xml:space="preserve">Intelligent </w:t>
      </w:r>
      <w:r>
        <w:rPr>
          <w:rFonts w:hint="eastAsia" w:ascii="Times New Roman"/>
          <w:sz w:val="21"/>
          <w:lang w:val="en-US" w:eastAsia="zh-CN"/>
        </w:rPr>
        <w:t xml:space="preserve">Construction </w:t>
      </w:r>
      <w:r>
        <w:rPr>
          <w:rFonts w:hint="eastAsia" w:ascii="Times New Roman" w:eastAsia="Times New Roman"/>
          <w:sz w:val="21"/>
        </w:rPr>
        <w:t>industry platform</w:t>
      </w: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行业智慧化服务平台（简称行业平台），是行业协会对智慧化工地建设过程进行监管的系统，满足行业协会对项目建造过程中的相关数据动态获取和掌握，整合住建行业信息化资源，实现智慧化工地全过程管控，提高行业监管效率、监管水平和决策能力。行业平台与项目平台实现数据共享、信息互通、工作协同。</w:t>
      </w:r>
    </w:p>
    <w:p>
      <w:pPr>
        <w:pStyle w:val="12"/>
        <w:numPr>
          <w:ilvl w:val="0"/>
          <w:numId w:val="0"/>
        </w:numPr>
        <w:tabs>
          <w:tab w:val="left" w:pos="573"/>
        </w:tabs>
        <w:spacing w:before="0" w:after="0" w:line="240" w:lineRule="auto"/>
        <w:ind w:left="99" w:leftChars="0" w:right="0" w:rightChars="0"/>
        <w:jc w:val="left"/>
        <w:rPr>
          <w:rFonts w:hint="eastAsia" w:ascii="黑体" w:eastAsia="黑体"/>
          <w:spacing w:val="-1"/>
          <w:sz w:val="21"/>
          <w:lang w:val="en-US" w:eastAsia="zh-CN"/>
        </w:rPr>
      </w:pPr>
    </w:p>
    <w:p>
      <w:pPr>
        <w:pStyle w:val="12"/>
        <w:numPr>
          <w:ilvl w:val="0"/>
          <w:numId w:val="0"/>
        </w:numPr>
        <w:tabs>
          <w:tab w:val="left" w:pos="573"/>
        </w:tabs>
        <w:spacing w:before="0" w:after="0" w:line="240" w:lineRule="auto"/>
        <w:ind w:left="99" w:leftChars="0" w:right="0" w:rightChars="0"/>
        <w:jc w:val="left"/>
        <w:rPr>
          <w:rFonts w:hint="default" w:ascii="Times New Roman" w:eastAsia="宋体"/>
          <w:sz w:val="21"/>
          <w:lang w:val="en-US" w:eastAsia="zh-CN"/>
        </w:rPr>
      </w:pPr>
      <w:r>
        <w:rPr>
          <w:rFonts w:hint="eastAsia" w:ascii="黑体" w:eastAsia="黑体"/>
          <w:spacing w:val="-1"/>
          <w:sz w:val="21"/>
          <w:lang w:val="en-US" w:eastAsia="zh-CN"/>
        </w:rPr>
        <w:t>3.0.6</w:t>
      </w:r>
      <w:r>
        <w:rPr>
          <w:rFonts w:hint="eastAsia" w:ascii="黑体" w:eastAsia="黑体"/>
          <w:spacing w:val="-1"/>
          <w:sz w:val="21"/>
          <w:lang w:eastAsia="zh-CN"/>
        </w:rPr>
        <w:t>数字化资料</w:t>
      </w:r>
      <w:r>
        <w:rPr>
          <w:rFonts w:hint="eastAsia" w:ascii="黑体" w:eastAsia="黑体"/>
          <w:spacing w:val="-1"/>
          <w:sz w:val="21"/>
        </w:rPr>
        <w:t xml:space="preserve"> </w:t>
      </w:r>
      <w:r>
        <w:rPr>
          <w:rFonts w:hint="eastAsia" w:ascii="Times New Roman"/>
          <w:sz w:val="21"/>
          <w:lang w:val="en-US" w:eastAsia="zh-CN"/>
        </w:rPr>
        <w:t>Digital</w:t>
      </w:r>
      <w:r>
        <w:rPr>
          <w:rFonts w:ascii="Times New Roman" w:eastAsia="Times New Roman"/>
          <w:spacing w:val="2"/>
          <w:sz w:val="21"/>
        </w:rPr>
        <w:t xml:space="preserve"> </w:t>
      </w:r>
      <w:r>
        <w:rPr>
          <w:rFonts w:hint="eastAsia" w:ascii="Times New Roman"/>
          <w:sz w:val="21"/>
          <w:lang w:val="en-US" w:eastAsia="zh-CN"/>
        </w:rPr>
        <w:t>Data</w:t>
      </w: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应用施工现场项目管理、企业管理、行业平台系统，收集、记录或形成建筑工程施工、质量、安全管理资料，通过信息化、数据化等技术手段形成可储存、复制、共享的数字化文件。</w:t>
      </w:r>
    </w:p>
    <w:p>
      <w:pPr>
        <w:pStyle w:val="12"/>
        <w:numPr>
          <w:ilvl w:val="0"/>
          <w:numId w:val="0"/>
        </w:numPr>
        <w:tabs>
          <w:tab w:val="left" w:pos="573"/>
        </w:tabs>
        <w:spacing w:before="0" w:after="0" w:line="240" w:lineRule="auto"/>
        <w:ind w:left="99" w:leftChars="0" w:right="0" w:rightChars="0"/>
        <w:jc w:val="left"/>
        <w:rPr>
          <w:rFonts w:hint="eastAsia" w:ascii="黑体" w:eastAsia="黑体"/>
          <w:spacing w:val="-1"/>
          <w:sz w:val="21"/>
          <w:lang w:val="en-US" w:eastAsia="zh-CN"/>
        </w:rPr>
      </w:pPr>
    </w:p>
    <w:p>
      <w:pPr>
        <w:pStyle w:val="12"/>
        <w:numPr>
          <w:ilvl w:val="0"/>
          <w:numId w:val="0"/>
        </w:numPr>
        <w:tabs>
          <w:tab w:val="left" w:pos="573"/>
        </w:tabs>
        <w:spacing w:before="0" w:after="0" w:line="240" w:lineRule="auto"/>
        <w:ind w:left="99" w:leftChars="0" w:right="0" w:rightChars="0"/>
        <w:jc w:val="left"/>
        <w:rPr>
          <w:rFonts w:ascii="Times New Roman" w:eastAsia="Times New Roman"/>
          <w:sz w:val="21"/>
        </w:rPr>
      </w:pPr>
      <w:r>
        <w:rPr>
          <w:rFonts w:hint="eastAsia" w:ascii="黑体" w:eastAsia="黑体"/>
          <w:spacing w:val="-1"/>
          <w:sz w:val="21"/>
          <w:lang w:val="en-US" w:eastAsia="zh-CN"/>
        </w:rPr>
        <w:t>3.0.7</w:t>
      </w:r>
      <w:r>
        <w:rPr>
          <w:rFonts w:hint="eastAsia" w:ascii="黑体" w:eastAsia="黑体"/>
          <w:spacing w:val="-1"/>
          <w:sz w:val="21"/>
          <w:lang w:eastAsia="zh-CN"/>
        </w:rPr>
        <w:t>电子签章/签名</w:t>
      </w:r>
      <w:r>
        <w:rPr>
          <w:rFonts w:hint="eastAsia" w:ascii="黑体" w:eastAsia="黑体"/>
          <w:spacing w:val="-1"/>
          <w:sz w:val="21"/>
        </w:rPr>
        <w:t xml:space="preserve"> </w:t>
      </w:r>
      <w:r>
        <w:rPr>
          <w:rFonts w:hint="eastAsia" w:ascii="Times New Roman" w:eastAsia="Times New Roman"/>
          <w:sz w:val="21"/>
        </w:rPr>
        <w:t>Electronic</w:t>
      </w:r>
      <w:r>
        <w:rPr>
          <w:rFonts w:hint="eastAsia" w:ascii="Times New Roman"/>
          <w:sz w:val="21"/>
          <w:lang w:val="en-US" w:eastAsia="zh-CN"/>
        </w:rPr>
        <w:t xml:space="preserve"> Seal/</w:t>
      </w:r>
      <w:r>
        <w:rPr>
          <w:rFonts w:hint="eastAsia" w:ascii="Times New Roman" w:eastAsia="Times New Roman"/>
          <w:sz w:val="21"/>
        </w:rPr>
        <w:t xml:space="preserve">Electronic </w:t>
      </w:r>
      <w:r>
        <w:rPr>
          <w:rFonts w:hint="eastAsia" w:ascii="Times New Roman"/>
          <w:sz w:val="21"/>
          <w:lang w:val="en-US" w:eastAsia="zh-CN"/>
        </w:rPr>
        <w:t>S</w:t>
      </w:r>
      <w:r>
        <w:rPr>
          <w:rFonts w:hint="eastAsia" w:ascii="Times New Roman" w:eastAsia="Times New Roman"/>
          <w:sz w:val="21"/>
        </w:rPr>
        <w:t>ignature</w:t>
      </w:r>
    </w:p>
    <w:p>
      <w:pPr>
        <w:pStyle w:val="2"/>
        <w:spacing w:line="360" w:lineRule="auto"/>
        <w:ind w:firstLine="42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通过将第三方认证机构、电子签约平台认定的数字认证、信息化公章、签名图片与被签章对象绑定，利用图像处理技术将电子签章/签名操作转化为与纸质文件盖章操作相同的可视效果，同时利用电子签名技术保障电子信息的真实性、完整性以及签名人的不可否认性。</w:t>
      </w:r>
    </w:p>
    <w:p>
      <w:pPr>
        <w:pStyle w:val="2"/>
        <w:spacing w:line="360" w:lineRule="auto"/>
        <w:ind w:firstLine="420"/>
        <w:rPr>
          <w:rFonts w:hint="eastAsia" w:ascii="宋体" w:hAnsi="宋体" w:eastAsia="宋体" w:cs="宋体"/>
          <w:color w:val="auto"/>
          <w:sz w:val="21"/>
          <w:szCs w:val="21"/>
          <w:lang w:val="zh-CN" w:eastAsia="zh-CN" w:bidi="zh-CN"/>
        </w:rPr>
      </w:pPr>
    </w:p>
    <w:p>
      <w:pPr>
        <w:pStyle w:val="12"/>
        <w:numPr>
          <w:ilvl w:val="0"/>
          <w:numId w:val="0"/>
        </w:numPr>
        <w:tabs>
          <w:tab w:val="left" w:pos="396"/>
        </w:tabs>
        <w:spacing w:before="1" w:after="0" w:line="480" w:lineRule="auto"/>
        <w:ind w:right="0" w:rightChars="0"/>
        <w:jc w:val="left"/>
        <w:rPr>
          <w:rFonts w:hint="eastAsia" w:ascii="黑体" w:eastAsia="黑体"/>
          <w:sz w:val="21"/>
        </w:rPr>
      </w:pPr>
      <w:bookmarkStart w:id="7" w:name="_bookmark2"/>
      <w:bookmarkEnd w:id="7"/>
      <w:bookmarkStart w:id="8" w:name="_bookmark2"/>
      <w:bookmarkEnd w:id="8"/>
      <w:r>
        <w:rPr>
          <w:rFonts w:hint="eastAsia" w:ascii="黑体" w:eastAsia="黑体"/>
          <w:sz w:val="21"/>
          <w:lang w:val="en-US" w:eastAsia="zh-CN"/>
        </w:rPr>
        <w:t>4</w:t>
      </w:r>
      <w:r>
        <w:rPr>
          <w:rFonts w:hint="eastAsia" w:ascii="黑体" w:eastAsia="黑体"/>
          <w:sz w:val="21"/>
        </w:rPr>
        <w:t>基本规定</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bookmarkStart w:id="9" w:name="_bookmark3"/>
      <w:bookmarkEnd w:id="9"/>
      <w:bookmarkStart w:id="10" w:name="_bookmark3"/>
      <w:bookmarkEnd w:id="10"/>
      <w:bookmarkStart w:id="11" w:name="4.1 智慧工地建设规定"/>
      <w:bookmarkEnd w:id="11"/>
      <w:bookmarkStart w:id="12" w:name="4.1 智慧工地建设规定"/>
      <w:bookmarkEnd w:id="12"/>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.0.1</w:t>
      </w:r>
      <w:r>
        <w:rPr>
          <w:rFonts w:hint="eastAsia" w:cs="Times New Roman"/>
        </w:rPr>
        <w:t>智慧化工地</w:t>
      </w:r>
      <w:r>
        <w:rPr>
          <w:rFonts w:hint="eastAsia" w:cs="Times New Roman"/>
          <w:color w:val="auto"/>
          <w:lang w:eastAsia="zh-CN"/>
        </w:rPr>
        <w:t>建设</w:t>
      </w:r>
      <w:r>
        <w:rPr>
          <w:rFonts w:cs="Times New Roman"/>
        </w:rPr>
        <w:t>应遵循</w:t>
      </w:r>
      <w:r>
        <w:rPr>
          <w:rFonts w:hint="eastAsia" w:cs="Times New Roman"/>
        </w:rPr>
        <w:t>对接行业平台、注重项目应用落地、持续推进</w:t>
      </w:r>
      <w:r>
        <w:rPr>
          <w:rFonts w:cs="Times New Roman"/>
        </w:rPr>
        <w:t>的原则</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rPr>
          <w:rFonts w:hint="eastAsia" w:ascii="宋体" w:hAnsi="宋体" w:eastAsia="宋体" w:cs="宋体"/>
          <w:b w:val="0"/>
          <w:bCs w:val="0"/>
          <w:color w:val="auto"/>
          <w:sz w:val="22"/>
          <w:szCs w:val="22"/>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.0.2</w:t>
      </w:r>
      <w:r>
        <w:rPr>
          <w:rFonts w:hint="eastAsia" w:ascii="宋体" w:hAnsi="宋体" w:eastAsia="宋体" w:cs="宋体"/>
          <w:b w:val="0"/>
          <w:bCs w:val="0"/>
          <w:color w:val="auto"/>
          <w:sz w:val="22"/>
          <w:szCs w:val="22"/>
          <w:lang w:val="zh-CN" w:eastAsia="zh-CN" w:bidi="zh-CN"/>
        </w:rPr>
        <w:t>智慧化工地由施工单位申报，建设单位组织监理、施工、分包等单位协调配合共同做好相应工作。建设工程施工合同应明确智慧化工地创建等级，列清相关费用、支付方式、支付时间。</w:t>
      </w:r>
    </w:p>
    <w:p>
      <w:pPr>
        <w:tabs>
          <w:tab w:val="left" w:pos="6"/>
          <w:tab w:val="left" w:pos="426"/>
          <w:tab w:val="left" w:pos="567"/>
        </w:tabs>
        <w:spacing w:line="360" w:lineRule="auto"/>
        <w:rPr>
          <w:rFonts w:hint="eastAsia" w:eastAsia="宋体袆.."/>
          <w:lang w:val="zh-CN" w:eastAsia="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.0.3</w:t>
      </w:r>
      <w:r>
        <w:rPr>
          <w:rFonts w:hint="eastAsia"/>
          <w:b w:val="0"/>
          <w:bCs w:val="0"/>
          <w:strike w:val="0"/>
          <w:dstrike w:val="0"/>
        </w:rPr>
        <w:t>智慧化工地</w:t>
      </w:r>
      <w:r>
        <w:rPr>
          <w:rFonts w:hint="eastAsia"/>
          <w:b w:val="0"/>
          <w:bCs w:val="0"/>
          <w:strike w:val="0"/>
          <w:dstrike w:val="0"/>
          <w:lang w:eastAsia="zh-CN"/>
        </w:rPr>
        <w:t>应按施工许可对应的标段工程进行评价，必要时经申请可按单位工程评价。</w:t>
      </w:r>
    </w:p>
    <w:p>
      <w:pPr>
        <w:tabs>
          <w:tab w:val="left" w:pos="6"/>
          <w:tab w:val="left" w:pos="426"/>
          <w:tab w:val="left" w:pos="567"/>
        </w:tabs>
        <w:spacing w:line="360" w:lineRule="auto"/>
        <w:rPr>
          <w:rFonts w:hint="eastAsia"/>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.0.4</w:t>
      </w:r>
      <w:r>
        <w:rPr>
          <w:rFonts w:hint="eastAsia"/>
        </w:rPr>
        <w:t>智慧化工地应符合以下规定：</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strike w:val="0"/>
          <w:dstrike w:val="0"/>
          <w:lang w:eastAsia="zh-CN"/>
        </w:rPr>
        <w:t>工程建设</w:t>
      </w:r>
      <w:r>
        <w:rPr>
          <w:rFonts w:hint="eastAsia"/>
        </w:rPr>
        <w:t>符合基本建设程序</w:t>
      </w:r>
      <w:r>
        <w:rPr>
          <w:rFonts w:hint="eastAsia"/>
          <w:lang w:eastAsia="zh-CN"/>
        </w:rPr>
        <w:t>相关要求</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b)</w:t>
      </w:r>
      <w:r>
        <w:rPr>
          <w:rFonts w:hint="eastAsia"/>
        </w:rPr>
        <w:t>智慧化工地建设应</w:t>
      </w:r>
      <w:r>
        <w:rPr>
          <w:rFonts w:hint="eastAsia"/>
          <w:strike w:val="0"/>
          <w:dstrike w:val="0"/>
          <w:u w:val="none"/>
          <w:lang w:eastAsia="zh-CN"/>
        </w:rPr>
        <w:t>参照</w:t>
      </w:r>
      <w:r>
        <w:rPr>
          <w:rFonts w:hint="eastAsia"/>
        </w:rPr>
        <w:t>青岛市《智慧化工地建设标准》相关要求</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rPr>
        <w:t>应在取得施工许可证</w:t>
      </w:r>
      <w:r>
        <w:rPr>
          <w:rFonts w:hint="eastAsia"/>
          <w:u w:val="none"/>
          <w:lang w:eastAsia="zh-CN"/>
        </w:rPr>
        <w:t>后</w:t>
      </w:r>
      <w:r>
        <w:rPr>
          <w:rFonts w:hint="eastAsia"/>
          <w:lang w:eastAsia="zh-CN"/>
        </w:rPr>
        <w:t>，</w:t>
      </w:r>
      <w:r>
        <w:rPr>
          <w:rFonts w:hint="eastAsia"/>
        </w:rPr>
        <w:t>15</w:t>
      </w:r>
      <w:r>
        <w:rPr>
          <w:rFonts w:hint="eastAsia"/>
          <w:lang w:eastAsia="zh-CN"/>
        </w:rPr>
        <w:t>个</w:t>
      </w:r>
      <w:r>
        <w:rPr>
          <w:rFonts w:hint="eastAsia"/>
          <w:u w:val="none"/>
          <w:lang w:eastAsia="zh-CN"/>
        </w:rPr>
        <w:t>工作</w:t>
      </w:r>
      <w:r>
        <w:rPr>
          <w:rFonts w:hint="eastAsia"/>
          <w:u w:val="none"/>
        </w:rPr>
        <w:t>日</w:t>
      </w:r>
      <w:r>
        <w:rPr>
          <w:rFonts w:hint="eastAsia"/>
        </w:rPr>
        <w:t>内进行申报</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d</w:t>
      </w:r>
      <w:r>
        <w:rPr>
          <w:rFonts w:hint="eastAsia" w:ascii="宋体" w:hAnsi="宋体" w:eastAsia="宋体" w:cs="宋体"/>
          <w:color w:val="auto"/>
          <w:sz w:val="21"/>
          <w:szCs w:val="21"/>
          <w:lang w:val="en-US" w:eastAsia="zh-CN" w:bidi="zh-CN"/>
        </w:rPr>
        <w:t>)</w:t>
      </w:r>
      <w:r>
        <w:rPr>
          <w:rFonts w:hint="eastAsia"/>
        </w:rPr>
        <w:t>建立覆盖相关</w:t>
      </w:r>
      <w:r>
        <w:rPr>
          <w:rFonts w:hint="eastAsia"/>
          <w:strike w:val="0"/>
          <w:dstrike w:val="0"/>
          <w:u w:val="none"/>
          <w:lang w:eastAsia="zh-CN"/>
        </w:rPr>
        <w:t>单位</w:t>
      </w:r>
      <w:r>
        <w:rPr>
          <w:rFonts w:hint="eastAsia"/>
        </w:rPr>
        <w:t>的智慧化工地管理制度</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e</w:t>
      </w:r>
      <w:r>
        <w:rPr>
          <w:rFonts w:hint="eastAsia" w:ascii="宋体" w:hAnsi="宋体" w:eastAsia="宋体" w:cs="宋体"/>
          <w:color w:val="auto"/>
          <w:sz w:val="21"/>
          <w:szCs w:val="21"/>
          <w:lang w:val="en-US" w:eastAsia="zh-CN" w:bidi="zh-CN"/>
        </w:rPr>
        <w:t>)</w:t>
      </w:r>
      <w:r>
        <w:rPr>
          <w:rFonts w:hint="eastAsia"/>
        </w:rPr>
        <w:t>编制智慧化工地建设方案，目标明确，内容完整</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f</w:t>
      </w:r>
      <w:r>
        <w:rPr>
          <w:rFonts w:hint="eastAsia" w:ascii="宋体" w:hAnsi="宋体" w:eastAsia="宋体" w:cs="宋体"/>
          <w:color w:val="auto"/>
          <w:sz w:val="21"/>
          <w:szCs w:val="21"/>
          <w:lang w:val="en-US" w:eastAsia="zh-CN" w:bidi="zh-CN"/>
        </w:rPr>
        <w:t>)</w:t>
      </w:r>
      <w:r>
        <w:rPr>
          <w:rFonts w:hint="eastAsia" w:ascii="宋体" w:hAnsi="宋体" w:eastAsia="宋体" w:cs="宋体"/>
          <w:color w:val="auto"/>
          <w:sz w:val="21"/>
          <w:szCs w:val="21"/>
          <w:lang w:val="zh-CN" w:eastAsia="zh-CN" w:bidi="zh-CN"/>
        </w:rPr>
        <w:t>应结合智慧化工地建设内容进行专项交底和培训</w:t>
      </w:r>
      <w:r>
        <w:rPr>
          <w:rFonts w:hint="eastAsia"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u w:val="none"/>
          <w:lang w:val="zh-CN" w:eastAsia="zh-CN" w:bidi="zh-CN"/>
        </w:rPr>
      </w:pPr>
      <w:r>
        <w:rPr>
          <w:rFonts w:hint="eastAsia" w:cs="宋体"/>
          <w:color w:val="auto"/>
          <w:sz w:val="21"/>
          <w:szCs w:val="21"/>
          <w:lang w:val="en-US" w:eastAsia="zh-CN" w:bidi="zh-CN"/>
        </w:rPr>
        <w:t>g</w:t>
      </w:r>
      <w:r>
        <w:rPr>
          <w:rFonts w:hint="eastAsia" w:ascii="宋体" w:hAnsi="宋体" w:eastAsia="宋体" w:cs="宋体"/>
          <w:color w:val="auto"/>
          <w:sz w:val="21"/>
          <w:szCs w:val="21"/>
          <w:lang w:val="en-US" w:eastAsia="zh-CN" w:bidi="zh-CN"/>
        </w:rPr>
        <w:t>)</w:t>
      </w:r>
      <w:r>
        <w:rPr>
          <w:rFonts w:hint="eastAsia"/>
          <w:u w:val="none"/>
        </w:rPr>
        <w:t>智慧化工地</w:t>
      </w:r>
      <w:r>
        <w:rPr>
          <w:rFonts w:hint="eastAsia"/>
          <w:u w:val="none"/>
          <w:lang w:eastAsia="zh-CN"/>
        </w:rPr>
        <w:t>建设中</w:t>
      </w:r>
      <w:r>
        <w:rPr>
          <w:rFonts w:hint="eastAsia"/>
          <w:u w:val="none"/>
        </w:rPr>
        <w:t>采用的软件、设备、工具、技术</w:t>
      </w:r>
      <w:r>
        <w:rPr>
          <w:rFonts w:hint="eastAsia"/>
          <w:u w:val="none"/>
          <w:lang w:eastAsia="zh-CN"/>
        </w:rPr>
        <w:t>等</w:t>
      </w:r>
      <w:r>
        <w:rPr>
          <w:rFonts w:hint="eastAsia"/>
          <w:u w:val="none"/>
        </w:rPr>
        <w:t>应符合信息</w:t>
      </w:r>
      <w:r>
        <w:rPr>
          <w:rFonts w:hint="eastAsia"/>
          <w:u w:val="none"/>
          <w:lang w:eastAsia="zh-CN"/>
        </w:rPr>
        <w:t>共享、管理</w:t>
      </w:r>
      <w:r>
        <w:rPr>
          <w:rFonts w:hint="eastAsia"/>
          <w:u w:val="none"/>
        </w:rPr>
        <w:t>协同的要求</w:t>
      </w:r>
      <w:r>
        <w:rPr>
          <w:rFonts w:hint="eastAsia" w:ascii="宋体" w:hAnsi="宋体" w:eastAsia="宋体" w:cs="宋体"/>
          <w:color w:val="auto"/>
          <w:sz w:val="21"/>
          <w:szCs w:val="21"/>
          <w:u w:val="none"/>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h</w:t>
      </w:r>
      <w:r>
        <w:rPr>
          <w:rFonts w:hint="eastAsia" w:ascii="宋体" w:hAnsi="宋体" w:eastAsia="宋体" w:cs="宋体"/>
          <w:color w:val="auto"/>
          <w:sz w:val="21"/>
          <w:szCs w:val="21"/>
          <w:lang w:val="en-US" w:eastAsia="zh-CN" w:bidi="zh-CN"/>
        </w:rPr>
        <w:t>)</w:t>
      </w:r>
      <w:r>
        <w:rPr>
          <w:rFonts w:hint="eastAsia"/>
        </w:rPr>
        <w:t>智慧化工地实施数据应有效采集、可靠存储</w:t>
      </w:r>
      <w:r>
        <w:rPr>
          <w:rFonts w:hint="eastAsia"/>
          <w:u w:val="none"/>
          <w:lang w:eastAsia="zh-CN"/>
        </w:rPr>
        <w:t>、依权限共享</w:t>
      </w:r>
      <w:r>
        <w:rPr>
          <w:rFonts w:hint="eastAsia"/>
        </w:rPr>
        <w:t>，满足管理需求</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firstLine="420" w:firstLineChars="20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j</w:t>
      </w:r>
      <w:r>
        <w:rPr>
          <w:rFonts w:hint="eastAsia" w:ascii="宋体" w:hAnsi="宋体" w:eastAsia="宋体" w:cs="宋体"/>
          <w:color w:val="auto"/>
          <w:sz w:val="21"/>
          <w:szCs w:val="21"/>
          <w:lang w:val="en-US" w:eastAsia="zh-CN" w:bidi="zh-CN"/>
        </w:rPr>
        <w:t>)</w:t>
      </w:r>
      <w:r>
        <w:rPr>
          <w:rFonts w:hint="eastAsia"/>
        </w:rPr>
        <w:t>智慧化工地</w:t>
      </w:r>
      <w:r>
        <w:rPr>
          <w:rFonts w:hint="eastAsia"/>
          <w:u w:val="none"/>
          <w:lang w:eastAsia="zh-CN"/>
        </w:rPr>
        <w:t>建设中</w:t>
      </w:r>
      <w:r>
        <w:rPr>
          <w:rFonts w:hint="eastAsia"/>
        </w:rPr>
        <w:t>所采用的信息基础设施，包括信息采集设备、存储设备、信息应用终端、网络基础设施、音视频监控设施设备等，应符合国家</w:t>
      </w:r>
      <w:r>
        <w:rPr>
          <w:rFonts w:hint="eastAsia"/>
          <w:u w:val="none"/>
          <w:lang w:eastAsia="zh-CN"/>
        </w:rPr>
        <w:t>、省</w:t>
      </w:r>
      <w:r>
        <w:rPr>
          <w:rFonts w:hint="eastAsia"/>
        </w:rPr>
        <w:t>及青岛市现行有关标准的规定</w:t>
      </w:r>
      <w:r>
        <w:rPr>
          <w:rFonts w:hint="eastAsia" w:ascii="宋体" w:hAnsi="宋体" w:eastAsia="宋体" w:cs="宋体"/>
          <w:color w:val="auto"/>
          <w:sz w:val="21"/>
          <w:szCs w:val="21"/>
          <w:lang w:val="zh-CN" w:eastAsia="zh-CN" w:bidi="zh-CN"/>
        </w:rPr>
        <w:t>。</w:t>
      </w:r>
    </w:p>
    <w:p>
      <w:pPr>
        <w:spacing w:line="360" w:lineRule="auto"/>
        <w:rPr>
          <w:rFonts w:hint="eastAsia" w:ascii="宋体" w:hAnsi="宋体" w:eastAsia="宋体" w:cs="宋体"/>
          <w:strike/>
          <w:dstrike w:val="0"/>
          <w:color w:val="auto"/>
          <w:sz w:val="21"/>
          <w:szCs w:val="21"/>
          <w:lang w:val="zh-CN" w:eastAsia="zh-CN" w:bidi="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 xml:space="preserve">.0.5 </w:t>
      </w:r>
      <w:r>
        <w:rPr>
          <w:rFonts w:hint="eastAsia"/>
          <w:b w:val="0"/>
          <w:bCs w:val="0"/>
        </w:rPr>
        <w:t>智慧化工地建设应针对工程特点、所处环境、</w:t>
      </w:r>
      <w:r>
        <w:rPr>
          <w:rFonts w:hint="eastAsia"/>
          <w:b w:val="0"/>
          <w:bCs w:val="0"/>
          <w:strike w:val="0"/>
          <w:dstrike w:val="0"/>
          <w:lang w:eastAsia="zh-CN"/>
        </w:rPr>
        <w:t>创建等级</w:t>
      </w:r>
      <w:r>
        <w:rPr>
          <w:rFonts w:hint="eastAsia"/>
          <w:b w:val="0"/>
          <w:bCs w:val="0"/>
        </w:rPr>
        <w:t>等实际情况进行需求分析，选用适宜软件、设备、工具、技术，对施工项目的人、机、料、法、环进行全过程动态控制和管理协同</w:t>
      </w:r>
      <w:r>
        <w:rPr>
          <w:rFonts w:hint="eastAsia"/>
          <w:b w:val="0"/>
          <w:bCs w:val="0"/>
          <w:strike w:val="0"/>
          <w:dstrike w:val="0"/>
          <w:lang w:eastAsia="zh-CN"/>
        </w:rPr>
        <w:t>。</w:t>
      </w:r>
    </w:p>
    <w:p>
      <w:pPr>
        <w:spacing w:line="360" w:lineRule="auto"/>
        <w:rPr>
          <w:rFonts w:hint="eastAsia" w:ascii="宋体" w:hAnsi="宋体" w:eastAsia="宋体" w:cs="宋体"/>
          <w:strike w:val="0"/>
          <w:dstrike w:val="0"/>
          <w:color w:val="auto"/>
          <w:sz w:val="21"/>
          <w:szCs w:val="21"/>
          <w:u w:val="none"/>
          <w:lang w:val="zh-CN" w:eastAsia="zh-CN" w:bidi="zh-CN"/>
        </w:rPr>
      </w:pPr>
      <w:r>
        <w:rPr>
          <w:rFonts w:hint="eastAsia" w:ascii="宋体" w:hAnsi="宋体" w:eastAsia="宋体" w:cs="宋体"/>
          <w:strike w:val="0"/>
          <w:dstrike w:val="0"/>
          <w:color w:val="auto"/>
          <w:sz w:val="21"/>
          <w:szCs w:val="21"/>
          <w:u w:val="none"/>
          <w:lang w:val="en-US" w:eastAsia="zh-CN" w:bidi="zh-CN"/>
        </w:rPr>
        <w:t>4.0.6</w:t>
      </w:r>
      <w:r>
        <w:rPr>
          <w:rFonts w:hint="eastAsia" w:cs="宋体"/>
          <w:strike w:val="0"/>
          <w:dstrike w:val="0"/>
          <w:color w:val="auto"/>
          <w:sz w:val="21"/>
          <w:szCs w:val="21"/>
          <w:u w:val="none"/>
          <w:lang w:val="en-US" w:eastAsia="zh-CN" w:bidi="zh-CN"/>
        </w:rPr>
        <w:t>申报单位提交</w:t>
      </w:r>
      <w:r>
        <w:rPr>
          <w:rFonts w:hint="eastAsia"/>
          <w:b w:val="0"/>
          <w:bCs w:val="0"/>
          <w:strike w:val="0"/>
          <w:dstrike w:val="0"/>
          <w:u w:val="none"/>
        </w:rPr>
        <w:t>评价</w:t>
      </w:r>
      <w:r>
        <w:rPr>
          <w:rFonts w:hint="eastAsia"/>
          <w:b w:val="0"/>
          <w:bCs w:val="0"/>
          <w:strike w:val="0"/>
          <w:dstrike w:val="0"/>
          <w:u w:val="none"/>
          <w:lang w:eastAsia="zh-CN"/>
        </w:rPr>
        <w:t>所需的</w:t>
      </w:r>
      <w:r>
        <w:rPr>
          <w:rFonts w:hint="eastAsia"/>
          <w:b w:val="0"/>
          <w:bCs w:val="0"/>
          <w:strike w:val="0"/>
          <w:dstrike w:val="0"/>
          <w:u w:val="none"/>
        </w:rPr>
        <w:t>相应资料</w:t>
      </w:r>
      <w:r>
        <w:rPr>
          <w:rFonts w:hint="eastAsia"/>
          <w:b w:val="0"/>
          <w:bCs w:val="0"/>
          <w:strike w:val="0"/>
          <w:dstrike w:val="0"/>
          <w:u w:val="none"/>
          <w:lang w:eastAsia="zh-CN"/>
        </w:rPr>
        <w:t>、</w:t>
      </w:r>
      <w:r>
        <w:rPr>
          <w:rFonts w:hint="eastAsia"/>
          <w:b w:val="0"/>
          <w:bCs w:val="0"/>
          <w:strike w:val="0"/>
          <w:dstrike w:val="0"/>
          <w:u w:val="none"/>
        </w:rPr>
        <w:t>文件</w:t>
      </w:r>
      <w:r>
        <w:rPr>
          <w:rFonts w:hint="eastAsia"/>
          <w:b w:val="0"/>
          <w:bCs w:val="0"/>
          <w:strike w:val="0"/>
          <w:dstrike w:val="0"/>
          <w:u w:val="none"/>
          <w:lang w:eastAsia="zh-CN"/>
        </w:rPr>
        <w:t>，</w:t>
      </w:r>
      <w:r>
        <w:rPr>
          <w:rFonts w:hint="eastAsia"/>
          <w:b w:val="0"/>
          <w:bCs w:val="0"/>
          <w:strike w:val="0"/>
          <w:dstrike w:val="0"/>
          <w:u w:val="none"/>
        </w:rPr>
        <w:t>并对</w:t>
      </w:r>
      <w:r>
        <w:rPr>
          <w:rFonts w:hint="eastAsia"/>
          <w:b w:val="0"/>
          <w:bCs w:val="0"/>
          <w:strike w:val="0"/>
          <w:dstrike w:val="0"/>
          <w:u w:val="none"/>
          <w:lang w:eastAsia="zh-CN"/>
        </w:rPr>
        <w:t>其</w:t>
      </w:r>
      <w:r>
        <w:rPr>
          <w:rFonts w:hint="eastAsia"/>
          <w:b w:val="0"/>
          <w:bCs w:val="0"/>
          <w:strike w:val="0"/>
          <w:dstrike w:val="0"/>
          <w:u w:val="none"/>
        </w:rPr>
        <w:t>真实性</w:t>
      </w:r>
      <w:r>
        <w:rPr>
          <w:rFonts w:hint="eastAsia"/>
          <w:b w:val="0"/>
          <w:bCs w:val="0"/>
          <w:strike w:val="0"/>
          <w:dstrike w:val="0"/>
          <w:u w:val="none"/>
          <w:lang w:eastAsia="zh-CN"/>
        </w:rPr>
        <w:t>、</w:t>
      </w:r>
      <w:r>
        <w:rPr>
          <w:rFonts w:hint="eastAsia"/>
          <w:b w:val="0"/>
          <w:bCs w:val="0"/>
          <w:strike w:val="0"/>
          <w:dstrike w:val="0"/>
          <w:u w:val="none"/>
        </w:rPr>
        <w:t>完整性负责</w:t>
      </w:r>
      <w:r>
        <w:rPr>
          <w:rFonts w:hint="eastAsia" w:ascii="宋体" w:hAnsi="宋体" w:eastAsia="宋体" w:cs="宋体"/>
          <w:strike w:val="0"/>
          <w:dstrike w:val="0"/>
          <w:color w:val="auto"/>
          <w:sz w:val="21"/>
          <w:szCs w:val="21"/>
          <w:u w:val="none"/>
          <w:lang w:val="zh-CN" w:eastAsia="zh-CN" w:bidi="zh-CN"/>
        </w:rPr>
        <w:t>。</w:t>
      </w:r>
    </w:p>
    <w:p>
      <w:pPr>
        <w:tabs>
          <w:tab w:val="left" w:pos="6"/>
          <w:tab w:val="left" w:pos="426"/>
          <w:tab w:val="left" w:pos="567"/>
        </w:tabs>
        <w:spacing w:line="360" w:lineRule="auto"/>
        <w:rPr>
          <w:rFonts w:hint="eastAsia"/>
          <w:lang w:val="en-US" w:eastAsia="zh-CN"/>
        </w:rPr>
      </w:pPr>
      <w:r>
        <w:rPr>
          <w:rFonts w:hint="eastAsia" w:ascii="宋体" w:hAnsi="宋体" w:eastAsia="宋体" w:cs="宋体"/>
          <w:color w:val="auto"/>
          <w:sz w:val="21"/>
          <w:szCs w:val="21"/>
          <w:lang w:val="en-US" w:eastAsia="zh-CN" w:bidi="zh-CN"/>
        </w:rPr>
        <w:t>4</w:t>
      </w:r>
      <w:r>
        <w:rPr>
          <w:rFonts w:hint="eastAsia" w:ascii="宋体" w:hAnsi="宋体" w:eastAsia="宋体" w:cs="宋体"/>
          <w:color w:val="auto"/>
          <w:sz w:val="21"/>
          <w:szCs w:val="21"/>
          <w:lang w:val="zh-CN" w:eastAsia="zh-CN" w:bidi="zh-CN"/>
        </w:rPr>
        <w:t>.0.</w:t>
      </w:r>
      <w:r>
        <w:rPr>
          <w:rFonts w:hint="eastAsia" w:cs="宋体"/>
          <w:color w:val="auto"/>
          <w:sz w:val="21"/>
          <w:szCs w:val="21"/>
          <w:lang w:val="en-US" w:eastAsia="zh-CN" w:bidi="zh-CN"/>
        </w:rPr>
        <w:t>7</w:t>
      </w:r>
      <w:r>
        <w:rPr>
          <w:rFonts w:hint="eastAsia"/>
        </w:rPr>
        <w:t>有下列情况之一的</w:t>
      </w:r>
      <w:r>
        <w:rPr>
          <w:rFonts w:hint="eastAsia"/>
          <w:strike w:val="0"/>
          <w:dstrike w:val="0"/>
          <w:u w:val="none"/>
          <w:lang w:eastAsia="zh-CN"/>
        </w:rPr>
        <w:t>工程</w:t>
      </w:r>
      <w:r>
        <w:rPr>
          <w:rFonts w:hint="eastAsia"/>
        </w:rPr>
        <w:t>，不得</w:t>
      </w:r>
      <w:r>
        <w:rPr>
          <w:rFonts w:hint="eastAsia"/>
          <w:strike w:val="0"/>
          <w:dstrike w:val="0"/>
          <w:lang w:eastAsia="zh-CN"/>
        </w:rPr>
        <w:t>评为智慧化工地</w:t>
      </w:r>
      <w:r>
        <w:rPr>
          <w:rFonts w:hint="eastAsia"/>
          <w:lang w:val="en-US" w:eastAsia="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rPr>
        <w:t>智慧化</w:t>
      </w:r>
      <w:r>
        <w:rPr>
          <w:rFonts w:hint="eastAsia"/>
          <w:strike w:val="0"/>
          <w:dstrike w:val="0"/>
          <w:lang w:eastAsia="zh-CN"/>
        </w:rPr>
        <w:t>项目实施</w:t>
      </w:r>
      <w:r>
        <w:rPr>
          <w:rFonts w:hint="eastAsia"/>
        </w:rPr>
        <w:t>数据与项目实际</w:t>
      </w:r>
      <w:r>
        <w:rPr>
          <w:rFonts w:hint="eastAsia"/>
          <w:strike w:val="0"/>
          <w:dstrike w:val="0"/>
          <w:u w:val="none"/>
          <w:lang w:eastAsia="zh-CN"/>
        </w:rPr>
        <w:t>情况</w:t>
      </w:r>
      <w:r>
        <w:rPr>
          <w:rFonts w:hint="eastAsia"/>
        </w:rPr>
        <w:t>不符</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b)</w:t>
      </w:r>
      <w:r>
        <w:rPr>
          <w:rFonts w:hint="eastAsia"/>
        </w:rPr>
        <w:t>未</w:t>
      </w:r>
      <w:r>
        <w:rPr>
          <w:rFonts w:hint="eastAsia"/>
          <w:lang w:eastAsia="zh-CN"/>
        </w:rPr>
        <w:t>按《智慧化工地建设标准》等要求</w:t>
      </w:r>
      <w:r>
        <w:rPr>
          <w:rFonts w:hint="eastAsia"/>
        </w:rPr>
        <w:t>向行业平台提</w:t>
      </w:r>
      <w:r>
        <w:rPr>
          <w:rFonts w:hint="eastAsia"/>
          <w:strike w:val="0"/>
          <w:dstrike w:val="0"/>
          <w:lang w:eastAsia="zh-CN"/>
        </w:rPr>
        <w:t>报</w:t>
      </w:r>
      <w:r>
        <w:rPr>
          <w:rFonts w:hint="eastAsia"/>
        </w:rPr>
        <w:t>相应数据</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rPr>
        <w:t>因</w:t>
      </w:r>
      <w:r>
        <w:rPr>
          <w:rFonts w:hint="eastAsia"/>
          <w:lang w:eastAsia="zh-CN"/>
        </w:rPr>
        <w:t>较大</w:t>
      </w:r>
      <w:r>
        <w:rPr>
          <w:rFonts w:hint="eastAsia"/>
        </w:rPr>
        <w:t>安全、质量、环保等问题而被行政处罚的</w:t>
      </w:r>
      <w:r>
        <w:rPr>
          <w:rFonts w:hint="eastAsia" w:ascii="宋体" w:hAnsi="宋体" w:eastAsia="宋体" w:cs="宋体"/>
          <w:color w:val="auto"/>
          <w:sz w:val="21"/>
          <w:szCs w:val="21"/>
          <w:lang w:val="zh-CN" w:eastAsia="zh-CN" w:bidi="zh-CN"/>
        </w:rPr>
        <w:t>。</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r>
        <w:rPr>
          <w:rFonts w:hint="eastAsia" w:ascii="黑体" w:eastAsia="黑体"/>
          <w:sz w:val="21"/>
          <w:lang w:val="en-US" w:eastAsia="zh-CN"/>
        </w:rPr>
        <w:t>5评价程序</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r>
        <w:rPr>
          <w:rFonts w:hint="eastAsia" w:ascii="黑体" w:eastAsia="黑体"/>
          <w:sz w:val="21"/>
          <w:lang w:val="en-US" w:eastAsia="zh-CN"/>
        </w:rPr>
        <w:t>5.1创建申报</w:t>
      </w:r>
    </w:p>
    <w:p>
      <w:pPr>
        <w:snapToGrid/>
        <w:spacing w:line="360" w:lineRule="auto"/>
        <w:ind w:firstLine="420" w:firstLineChars="200"/>
      </w:pPr>
      <w:r>
        <w:rPr>
          <w:rFonts w:hint="eastAsia" w:cs="宋体"/>
          <w:strike w:val="0"/>
          <w:dstrike w:val="0"/>
          <w:color w:val="auto"/>
          <w:sz w:val="21"/>
          <w:szCs w:val="21"/>
          <w:u w:val="none"/>
          <w:lang w:val="en-US" w:eastAsia="zh-CN" w:bidi="zh-CN"/>
        </w:rPr>
        <w:t>申报单位应在</w:t>
      </w:r>
      <w:r>
        <w:rPr>
          <w:rFonts w:hint="eastAsia"/>
        </w:rPr>
        <w:t>取得施工许可</w:t>
      </w:r>
      <w:r>
        <w:rPr>
          <w:rFonts w:hint="eastAsia"/>
          <w:lang w:eastAsia="zh-CN"/>
        </w:rPr>
        <w:t>证后</w:t>
      </w:r>
      <w:r>
        <w:rPr>
          <w:rFonts w:hint="eastAsia"/>
        </w:rPr>
        <w:t>15日内向青岛市建筑业协会</w:t>
      </w:r>
      <w:r>
        <w:rPr>
          <w:rFonts w:hint="eastAsia"/>
          <w:lang w:eastAsia="zh-CN"/>
        </w:rPr>
        <w:t>（以下简称协会）</w:t>
      </w:r>
      <w:r>
        <w:rPr>
          <w:rFonts w:hint="eastAsia"/>
        </w:rPr>
        <w:t>申报创建智慧化工地</w:t>
      </w:r>
      <w:r>
        <w:rPr>
          <w:rFonts w:hint="eastAsia"/>
          <w:lang w:eastAsia="zh-CN"/>
        </w:rPr>
        <w:t>，提交</w:t>
      </w:r>
      <w:r>
        <w:rPr>
          <w:rFonts w:hint="eastAsia"/>
        </w:rPr>
        <w:t>智慧化工地创建申请表、施工许可证复印件、智慧化工地建设方案</w:t>
      </w:r>
      <w:r>
        <w:rPr>
          <w:rFonts w:hint="eastAsia"/>
          <w:lang w:eastAsia="zh-CN"/>
        </w:rPr>
        <w:t>等资料</w:t>
      </w:r>
      <w:r>
        <w:rPr>
          <w:rFonts w:hint="eastAsia"/>
        </w:rPr>
        <w:t>。</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bookmarkStart w:id="13" w:name="5.1 系统平台组成"/>
      <w:bookmarkEnd w:id="13"/>
      <w:bookmarkStart w:id="14" w:name="5.1 系统平台组成"/>
      <w:bookmarkEnd w:id="14"/>
      <w:r>
        <w:rPr>
          <w:rFonts w:hint="eastAsia" w:ascii="黑体" w:eastAsia="黑体"/>
          <w:sz w:val="21"/>
          <w:lang w:val="en-US" w:eastAsia="zh-CN"/>
        </w:rPr>
        <w:t>5.2评价阶段</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rPr>
        <w:t>工程主体结构施工至正负零后30日内进行第一次</w:t>
      </w:r>
      <w:r>
        <w:rPr>
          <w:rFonts w:hint="eastAsia"/>
          <w:lang w:eastAsia="zh-CN"/>
        </w:rPr>
        <w:t>过程</w:t>
      </w:r>
      <w:r>
        <w:rPr>
          <w:rFonts w:hint="eastAsia"/>
        </w:rPr>
        <w:t>评价</w:t>
      </w:r>
      <w:r>
        <w:rPr>
          <w:rFonts w:hint="eastAsia" w:cs="宋体"/>
          <w:color w:val="auto"/>
          <w:sz w:val="21"/>
          <w:szCs w:val="21"/>
          <w:lang w:val="zh-CN" w:eastAsia="zh-CN" w:bidi="zh-CN"/>
        </w:rPr>
        <w:t>，主要评价</w:t>
      </w:r>
      <w:r>
        <w:rPr>
          <w:rFonts w:hint="eastAsia"/>
        </w:rPr>
        <w:t>现阶段各系统</w:t>
      </w:r>
      <w:r>
        <w:rPr>
          <w:rFonts w:hint="eastAsia"/>
          <w:lang w:eastAsia="zh-CN"/>
        </w:rPr>
        <w:t>应用情况。</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b)</w:t>
      </w:r>
      <w:r>
        <w:rPr>
          <w:rFonts w:hint="eastAsia"/>
        </w:rPr>
        <w:t>主体结构封顶30日内进行第二次</w:t>
      </w:r>
      <w:r>
        <w:rPr>
          <w:rFonts w:hint="eastAsia"/>
          <w:lang w:eastAsia="zh-CN"/>
        </w:rPr>
        <w:t>过程</w:t>
      </w:r>
      <w:r>
        <w:rPr>
          <w:rFonts w:hint="eastAsia"/>
        </w:rPr>
        <w:t>评价</w:t>
      </w:r>
      <w:r>
        <w:rPr>
          <w:rFonts w:hint="eastAsia" w:cs="宋体"/>
          <w:color w:val="auto"/>
          <w:sz w:val="21"/>
          <w:szCs w:val="21"/>
          <w:lang w:val="zh-CN" w:eastAsia="zh-CN" w:bidi="zh-CN"/>
        </w:rPr>
        <w:t>，主要</w:t>
      </w:r>
      <w:r>
        <w:rPr>
          <w:rFonts w:hint="eastAsia"/>
        </w:rPr>
        <w:t>对第一次评价项进行复核</w:t>
      </w:r>
      <w:r>
        <w:rPr>
          <w:rFonts w:hint="eastAsia"/>
          <w:lang w:eastAsia="zh-CN"/>
        </w:rPr>
        <w:t>，对</w:t>
      </w:r>
      <w:r>
        <w:rPr>
          <w:rFonts w:hint="eastAsia"/>
        </w:rPr>
        <w:t>新增项进行评价</w:t>
      </w:r>
      <w:r>
        <w:rPr>
          <w:rFonts w:hint="eastAsia"/>
          <w:lang w:eastAsia="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ascii="宋体" w:hAnsi="宋体" w:eastAsia="宋体" w:cs="宋体"/>
          <w:color w:val="auto"/>
          <w:sz w:val="21"/>
          <w:szCs w:val="21"/>
          <w:lang w:val="zh-CN" w:eastAsia="zh-CN" w:bidi="zh-CN"/>
        </w:rPr>
        <w:t>工程竣工验收后15日进行</w:t>
      </w:r>
      <w:r>
        <w:rPr>
          <w:rFonts w:hint="eastAsia" w:cs="宋体"/>
          <w:color w:val="auto"/>
          <w:sz w:val="21"/>
          <w:szCs w:val="21"/>
          <w:lang w:val="zh-CN" w:eastAsia="zh-CN" w:bidi="zh-CN"/>
        </w:rPr>
        <w:t>等级认定</w:t>
      </w:r>
      <w:r>
        <w:rPr>
          <w:rFonts w:hint="eastAsia" w:ascii="宋体" w:hAnsi="宋体" w:eastAsia="宋体" w:cs="宋体"/>
          <w:color w:val="auto"/>
          <w:sz w:val="21"/>
          <w:szCs w:val="21"/>
          <w:lang w:val="zh-CN" w:eastAsia="zh-CN" w:bidi="zh-CN"/>
        </w:rPr>
        <w:t>。申报单位在申请评价前，应对智慧化项目应用情况进行总结，包括工程概况、工程管理重难点、智慧化工地各模块应用情况证明资料、应用亮点、综合效益分析和建议等。</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r>
        <w:rPr>
          <w:rFonts w:hint="eastAsia" w:ascii="黑体" w:eastAsia="黑体"/>
          <w:sz w:val="21"/>
          <w:lang w:val="en-US" w:eastAsia="zh-CN"/>
        </w:rPr>
        <w:t>5.3评价程序原则</w:t>
      </w:r>
    </w:p>
    <w:p>
      <w:pPr>
        <w:numPr>
          <w:ilvl w:val="0"/>
          <w:numId w:val="2"/>
        </w:numPr>
        <w:tabs>
          <w:tab w:val="left" w:pos="6"/>
          <w:tab w:val="left" w:pos="426"/>
          <w:tab w:val="left" w:pos="567"/>
          <w:tab w:val="clear" w:pos="312"/>
        </w:tabs>
        <w:spacing w:line="360" w:lineRule="auto"/>
        <w:ind w:right="0" w:rightChars="0" w:firstLine="440" w:firstLineChars="200"/>
        <w:rPr>
          <w:rFonts w:hint="eastAsia" w:ascii="宋体" w:hAnsi="宋体" w:eastAsia="宋体" w:cs="宋体"/>
          <w:color w:val="auto"/>
          <w:sz w:val="21"/>
          <w:szCs w:val="21"/>
          <w:lang w:val="zh-CN" w:eastAsia="zh-CN" w:bidi="zh-CN"/>
        </w:rPr>
      </w:pPr>
      <w:r>
        <w:rPr>
          <w:rFonts w:hint="eastAsia"/>
        </w:rPr>
        <w:t>智慧化工地评价应</w:t>
      </w:r>
      <w:r>
        <w:rPr>
          <w:rFonts w:hint="eastAsia"/>
          <w:lang w:eastAsia="zh-CN"/>
        </w:rPr>
        <w:t>由申报单位申请</w:t>
      </w:r>
      <w:r>
        <w:rPr>
          <w:rFonts w:hint="eastAsia"/>
        </w:rPr>
        <w:t>，</w:t>
      </w:r>
      <w:r>
        <w:rPr>
          <w:rFonts w:hint="eastAsia"/>
          <w:lang w:eastAsia="zh-CN"/>
        </w:rPr>
        <w:t>协会组织相关专家进行现场</w:t>
      </w:r>
      <w:r>
        <w:rPr>
          <w:rFonts w:hint="eastAsia"/>
        </w:rPr>
        <w:t>评价</w:t>
      </w:r>
      <w:r>
        <w:rPr>
          <w:rFonts w:hint="eastAsia"/>
          <w:lang w:eastAsia="zh-CN"/>
        </w:rPr>
        <w:t>，评价时建设、施工、监理及相关</w:t>
      </w:r>
      <w:r>
        <w:rPr>
          <w:rFonts w:hint="eastAsia"/>
        </w:rPr>
        <w:t>单位</w:t>
      </w:r>
      <w:r>
        <w:rPr>
          <w:rFonts w:hint="eastAsia"/>
          <w:lang w:eastAsia="zh-CN"/>
        </w:rPr>
        <w:t>应</w:t>
      </w:r>
      <w:r>
        <w:rPr>
          <w:rFonts w:hint="eastAsia"/>
        </w:rPr>
        <w:t>参加</w:t>
      </w:r>
      <w:r>
        <w:rPr>
          <w:rFonts w:hint="eastAsia" w:ascii="宋体" w:hAnsi="宋体" w:eastAsia="宋体" w:cs="宋体"/>
          <w:color w:val="auto"/>
          <w:sz w:val="21"/>
          <w:szCs w:val="21"/>
          <w:lang w:val="zh-CN" w:eastAsia="zh-CN" w:bidi="zh-CN"/>
        </w:rPr>
        <w:t>。</w:t>
      </w:r>
    </w:p>
    <w:p>
      <w:pPr>
        <w:pStyle w:val="2"/>
        <w:numPr>
          <w:ilvl w:val="0"/>
          <w:numId w:val="0"/>
        </w:numPr>
        <w:spacing w:line="360" w:lineRule="auto"/>
        <w:rPr>
          <w:rFonts w:hint="eastAsia" w:eastAsia="宋体袆.."/>
          <w:lang w:val="en-US" w:eastAsia="zh-CN"/>
        </w:rPr>
      </w:pPr>
      <w:r>
        <w:rPr>
          <w:rFonts w:hint="eastAsia"/>
          <w:lang w:val="en-US" w:eastAsia="zh-CN"/>
        </w:rPr>
        <w:t xml:space="preserve">    </w:t>
      </w:r>
      <w:r>
        <w:rPr>
          <w:rFonts w:hint="eastAsia" w:ascii="宋体" w:hAnsi="宋体" w:eastAsia="宋体" w:cs="宋体"/>
          <w:color w:val="auto"/>
          <w:sz w:val="22"/>
          <w:szCs w:val="22"/>
          <w:lang w:val="en-US" w:eastAsia="zh-CN" w:bidi="zh-CN"/>
        </w:rPr>
        <w:t>b)</w:t>
      </w:r>
      <w:r>
        <w:rPr>
          <w:rFonts w:hint="eastAsia" w:ascii="宋体" w:hAnsi="宋体" w:eastAsia="宋体" w:cs="宋体"/>
          <w:color w:val="auto"/>
          <w:sz w:val="22"/>
          <w:szCs w:val="22"/>
          <w:lang w:val="zh-CN" w:eastAsia="zh-CN" w:bidi="zh-CN"/>
        </w:rPr>
        <w:t>申报单位在申请进行现场评价前，应由建设单位组织相关单位进行自评，明确建设等级。</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c)</w:t>
      </w:r>
      <w:r>
        <w:rPr>
          <w:rFonts w:hint="eastAsia"/>
          <w:color w:val="auto"/>
        </w:rPr>
        <w:t>智慧化工地等级应在</w:t>
      </w:r>
      <w:r>
        <w:rPr>
          <w:rFonts w:hint="eastAsia"/>
          <w:color w:val="auto"/>
          <w:lang w:eastAsia="zh-CN"/>
        </w:rPr>
        <w:t>二</w:t>
      </w:r>
      <w:r>
        <w:rPr>
          <w:rFonts w:hint="eastAsia"/>
          <w:color w:val="auto"/>
        </w:rPr>
        <w:t>次</w:t>
      </w:r>
      <w:r>
        <w:rPr>
          <w:rFonts w:hint="eastAsia"/>
          <w:color w:val="auto"/>
          <w:lang w:eastAsia="zh-CN"/>
        </w:rPr>
        <w:t>过程</w:t>
      </w:r>
      <w:r>
        <w:rPr>
          <w:rFonts w:hint="eastAsia"/>
          <w:color w:val="auto"/>
        </w:rPr>
        <w:t>评价的基础上</w:t>
      </w:r>
      <w:r>
        <w:rPr>
          <w:rFonts w:hint="eastAsia"/>
          <w:color w:val="auto"/>
          <w:lang w:eastAsia="zh-CN"/>
        </w:rPr>
        <w:t>认定</w:t>
      </w:r>
      <w:r>
        <w:rPr>
          <w:rFonts w:hint="eastAsia"/>
          <w:color w:val="auto"/>
        </w:rPr>
        <w:t>，没有经过</w:t>
      </w:r>
      <w:r>
        <w:rPr>
          <w:rFonts w:hint="eastAsia"/>
          <w:color w:val="auto"/>
          <w:lang w:eastAsia="zh-CN"/>
        </w:rPr>
        <w:t>过程</w:t>
      </w:r>
      <w:r>
        <w:rPr>
          <w:rFonts w:hint="eastAsia"/>
          <w:color w:val="auto"/>
        </w:rPr>
        <w:t>评价的</w:t>
      </w:r>
      <w:r>
        <w:rPr>
          <w:rFonts w:hint="eastAsia"/>
          <w:color w:val="auto"/>
          <w:lang w:eastAsia="zh-CN"/>
        </w:rPr>
        <w:t>工程</w:t>
      </w:r>
      <w:r>
        <w:rPr>
          <w:rFonts w:hint="eastAsia"/>
          <w:color w:val="auto"/>
        </w:rPr>
        <w:t>不能进行</w:t>
      </w:r>
      <w:r>
        <w:rPr>
          <w:rFonts w:hint="eastAsia"/>
          <w:color w:val="auto"/>
          <w:lang w:eastAsia="zh-CN"/>
        </w:rPr>
        <w:t>等级认定</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d</w:t>
      </w:r>
      <w:r>
        <w:rPr>
          <w:rFonts w:hint="eastAsia" w:ascii="宋体" w:hAnsi="宋体" w:eastAsia="宋体" w:cs="宋体"/>
          <w:color w:val="auto"/>
          <w:sz w:val="21"/>
          <w:szCs w:val="21"/>
          <w:lang w:val="en-US" w:eastAsia="zh-CN" w:bidi="zh-CN"/>
        </w:rPr>
        <w:t>)</w:t>
      </w:r>
      <w:r>
        <w:rPr>
          <w:rFonts w:hint="eastAsia"/>
        </w:rPr>
        <w:t>协会组织专家在施工过程中随机抽查，根据检查情况提出整改意见</w:t>
      </w:r>
      <w:r>
        <w:rPr>
          <w:rFonts w:hint="eastAsia"/>
          <w:lang w:eastAsia="zh-CN"/>
        </w:rPr>
        <w:t>，</w:t>
      </w:r>
      <w:r>
        <w:rPr>
          <w:rFonts w:hint="eastAsia"/>
        </w:rPr>
        <w:t>发现</w:t>
      </w:r>
      <w:r>
        <w:rPr>
          <w:rFonts w:hint="eastAsia"/>
          <w:lang w:eastAsia="zh-CN"/>
        </w:rPr>
        <w:t>存在</w:t>
      </w:r>
      <w:r>
        <w:rPr>
          <w:rFonts w:hint="eastAsia"/>
          <w:lang w:val="en-US" w:eastAsia="zh-CN"/>
        </w:rPr>
        <w:t>4</w:t>
      </w:r>
      <w:r>
        <w:rPr>
          <w:rFonts w:hint="eastAsia"/>
        </w:rPr>
        <w:t>.0.</w:t>
      </w:r>
      <w:r>
        <w:rPr>
          <w:rFonts w:hint="eastAsia"/>
          <w:lang w:val="en-US" w:eastAsia="zh-CN"/>
        </w:rPr>
        <w:t>7条规定</w:t>
      </w:r>
      <w:r>
        <w:rPr>
          <w:rFonts w:hint="eastAsia"/>
        </w:rPr>
        <w:t>的情况，取消评定资格</w:t>
      </w:r>
      <w:r>
        <w:rPr>
          <w:rFonts w:hint="eastAsia" w:ascii="宋体" w:hAnsi="宋体" w:eastAsia="宋体" w:cs="宋体"/>
          <w:color w:val="auto"/>
          <w:sz w:val="21"/>
          <w:szCs w:val="21"/>
          <w:lang w:val="zh-CN" w:eastAsia="zh-CN" w:bidi="zh-CN"/>
        </w:rPr>
        <w:t>。</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bookmarkStart w:id="15" w:name="_bookmark6"/>
      <w:bookmarkEnd w:id="15"/>
      <w:bookmarkStart w:id="16" w:name="_bookmark6"/>
      <w:bookmarkEnd w:id="16"/>
      <w:r>
        <w:rPr>
          <w:rFonts w:hint="eastAsia" w:ascii="黑体" w:eastAsia="黑体"/>
          <w:sz w:val="21"/>
          <w:lang w:val="en-US" w:eastAsia="zh-CN"/>
        </w:rPr>
        <w:t>5.4评价框架体系</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w:t>
      </w:r>
      <w:r>
        <w:rPr>
          <w:rFonts w:hint="eastAsia" w:cs="宋体"/>
          <w:color w:val="auto"/>
          <w:sz w:val="21"/>
          <w:szCs w:val="21"/>
          <w:lang w:val="en-US" w:eastAsia="zh-CN" w:bidi="zh-CN"/>
        </w:rPr>
        <w:t>2</w:t>
      </w:r>
      <w:r>
        <w:rPr>
          <w:rFonts w:hint="eastAsia" w:ascii="宋体" w:hAnsi="宋体" w:eastAsia="宋体" w:cs="宋体"/>
          <w:color w:val="auto"/>
          <w:sz w:val="21"/>
          <w:szCs w:val="21"/>
          <w:lang w:val="en-US" w:eastAsia="zh-CN" w:bidi="zh-CN"/>
        </w:rPr>
        <w:t>.1</w:t>
      </w:r>
      <w:r>
        <w:rPr>
          <w:rFonts w:hint="eastAsia" w:cs="Times New Roman"/>
        </w:rPr>
        <w:t>智慧化工地评价</w:t>
      </w:r>
      <w:r>
        <w:rPr>
          <w:rFonts w:cs="Times New Roman"/>
        </w:rPr>
        <w:t>应在</w:t>
      </w:r>
      <w:r>
        <w:rPr>
          <w:rFonts w:hint="eastAsia" w:cs="Times New Roman"/>
        </w:rPr>
        <w:t>《智慧化工地建设标准》</w:t>
      </w:r>
      <w:r>
        <w:rPr>
          <w:rFonts w:cs="Times New Roman"/>
        </w:rPr>
        <w:t>基础上，依据</w:t>
      </w:r>
      <w:r>
        <w:rPr>
          <w:rFonts w:hint="eastAsia" w:cs="Times New Roman"/>
          <w:lang w:eastAsia="zh-CN"/>
        </w:rPr>
        <w:t>申报的</w:t>
      </w:r>
      <w:r>
        <w:rPr>
          <w:rFonts w:hint="eastAsia" w:cs="Times New Roman"/>
        </w:rPr>
        <w:t>应用项</w:t>
      </w:r>
      <w:r>
        <w:rPr>
          <w:rFonts w:hint="eastAsia" w:cs="Times New Roman"/>
          <w:lang w:eastAsia="zh-CN"/>
        </w:rPr>
        <w:t>目</w:t>
      </w:r>
      <w:r>
        <w:rPr>
          <w:rFonts w:hint="eastAsia" w:cs="Times New Roman"/>
        </w:rPr>
        <w:t>、</w:t>
      </w:r>
      <w:r>
        <w:rPr>
          <w:rFonts w:hint="eastAsia"/>
        </w:rPr>
        <w:t>智慧化工地建设方案</w:t>
      </w:r>
      <w:r>
        <w:rPr>
          <w:rFonts w:cs="Times New Roman"/>
        </w:rPr>
        <w:t>，对实施过程进行评价</w:t>
      </w:r>
      <w:r>
        <w:rPr>
          <w:rFonts w:hint="eastAsia" w:ascii="宋体" w:hAnsi="宋体" w:eastAsia="宋体" w:cs="宋体"/>
          <w:color w:val="auto"/>
          <w:sz w:val="21"/>
          <w:szCs w:val="21"/>
          <w:lang w:val="zh-CN" w:eastAsia="zh-CN" w:bidi="zh-CN"/>
        </w:rPr>
        <w:t>。</w:t>
      </w:r>
    </w:p>
    <w:p>
      <w:pPr>
        <w:snapToGrid/>
        <w:spacing w:line="360" w:lineRule="auto"/>
        <w:rPr>
          <w:rFonts w:hint="eastAsia"/>
        </w:rPr>
      </w:pPr>
      <w:r>
        <w:rPr>
          <w:rFonts w:hint="eastAsia" w:ascii="宋体" w:hAnsi="宋体" w:eastAsia="宋体" w:cs="宋体"/>
          <w:color w:val="auto"/>
          <w:sz w:val="21"/>
          <w:szCs w:val="21"/>
          <w:lang w:val="en-US" w:eastAsia="zh-CN" w:bidi="zh-CN"/>
        </w:rPr>
        <w:t>5.</w:t>
      </w:r>
      <w:r>
        <w:rPr>
          <w:rFonts w:hint="eastAsia" w:cs="宋体"/>
          <w:color w:val="auto"/>
          <w:sz w:val="21"/>
          <w:szCs w:val="21"/>
          <w:lang w:val="en-US" w:eastAsia="zh-CN" w:bidi="zh-CN"/>
        </w:rPr>
        <w:t>2</w:t>
      </w:r>
      <w:r>
        <w:rPr>
          <w:rFonts w:hint="eastAsia" w:ascii="宋体" w:hAnsi="宋体" w:eastAsia="宋体" w:cs="宋体"/>
          <w:color w:val="auto"/>
          <w:sz w:val="21"/>
          <w:szCs w:val="21"/>
          <w:lang w:val="en-US" w:eastAsia="zh-CN" w:bidi="zh-CN"/>
        </w:rPr>
        <w:t>.2</w:t>
      </w:r>
      <w:r>
        <w:rPr>
          <w:rFonts w:hint="eastAsia" w:cs="Times New Roman"/>
        </w:rPr>
        <w:t>智慧化工地评价</w:t>
      </w:r>
      <w:r>
        <w:rPr>
          <w:rFonts w:cs="Times New Roman"/>
        </w:rPr>
        <w:t>框架体系应由阶段评价</w:t>
      </w:r>
      <w:r>
        <w:rPr>
          <w:rFonts w:hint="eastAsia" w:cs="Times New Roman"/>
          <w:lang w:eastAsia="zh-CN"/>
        </w:rPr>
        <w:t>、</w:t>
      </w:r>
      <w:r>
        <w:rPr>
          <w:rFonts w:hint="eastAsia" w:cs="Times New Roman"/>
        </w:rPr>
        <w:t>应用项</w:t>
      </w:r>
      <w:r>
        <w:rPr>
          <w:rFonts w:cs="Times New Roman"/>
        </w:rPr>
        <w:t>评价、等级</w:t>
      </w:r>
      <w:r>
        <w:rPr>
          <w:rFonts w:hint="eastAsia" w:cs="Times New Roman"/>
          <w:lang w:eastAsia="zh-CN"/>
        </w:rPr>
        <w:t>认定</w:t>
      </w:r>
      <w:r>
        <w:rPr>
          <w:rFonts w:cs="Times New Roman"/>
        </w:rPr>
        <w:t>等构成</w:t>
      </w:r>
      <w:r>
        <w:rPr>
          <w:rFonts w:hint="eastAsia"/>
        </w:rPr>
        <w:t>。</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w:t>
      </w:r>
      <w:r>
        <w:rPr>
          <w:rFonts w:hint="eastAsia" w:cs="宋体"/>
          <w:color w:val="auto"/>
          <w:sz w:val="21"/>
          <w:szCs w:val="21"/>
          <w:lang w:val="en-US" w:eastAsia="zh-CN" w:bidi="zh-CN"/>
        </w:rPr>
        <w:t>2</w:t>
      </w:r>
      <w:r>
        <w:rPr>
          <w:rFonts w:hint="eastAsia" w:ascii="宋体" w:hAnsi="宋体" w:eastAsia="宋体" w:cs="宋体"/>
          <w:color w:val="auto"/>
          <w:sz w:val="21"/>
          <w:szCs w:val="21"/>
          <w:lang w:val="en-US" w:eastAsia="zh-CN" w:bidi="zh-CN"/>
        </w:rPr>
        <w:t>.</w:t>
      </w:r>
      <w:r>
        <w:rPr>
          <w:rFonts w:hint="eastAsia" w:cs="宋体"/>
          <w:color w:val="auto"/>
          <w:sz w:val="21"/>
          <w:szCs w:val="21"/>
          <w:lang w:val="en-US" w:eastAsia="zh-CN" w:bidi="zh-CN"/>
        </w:rPr>
        <w:t>3</w:t>
      </w:r>
      <w:r>
        <w:rPr>
          <w:rFonts w:hint="eastAsia" w:cs="Times New Roman"/>
        </w:rPr>
        <w:t>应用项评价</w:t>
      </w:r>
      <w:r>
        <w:rPr>
          <w:rFonts w:cs="Times New Roman"/>
        </w:rPr>
        <w:t>包括</w:t>
      </w:r>
      <w:r>
        <w:rPr>
          <w:rFonts w:hint="eastAsia" w:cs="Times New Roman"/>
        </w:rPr>
        <w:t>管理平台、施工安全管理类、施工质量管理类、绿色文明施工类、施工综合管理类、人员管理类、BIM技术应用、建筑工业化类共八类，其中包含76项应用项</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w:t>
      </w:r>
      <w:r>
        <w:rPr>
          <w:rFonts w:hint="eastAsia" w:cs="宋体"/>
          <w:color w:val="auto"/>
          <w:sz w:val="21"/>
          <w:szCs w:val="21"/>
          <w:lang w:val="en-US" w:eastAsia="zh-CN" w:bidi="zh-CN"/>
        </w:rPr>
        <w:t>2</w:t>
      </w:r>
      <w:r>
        <w:rPr>
          <w:rFonts w:hint="eastAsia" w:ascii="宋体" w:hAnsi="宋体" w:eastAsia="宋体" w:cs="宋体"/>
          <w:color w:val="auto"/>
          <w:sz w:val="21"/>
          <w:szCs w:val="21"/>
          <w:lang w:val="en-US" w:eastAsia="zh-CN" w:bidi="zh-CN"/>
        </w:rPr>
        <w:t>.</w:t>
      </w:r>
      <w:r>
        <w:rPr>
          <w:rFonts w:hint="eastAsia" w:cs="宋体"/>
          <w:color w:val="auto"/>
          <w:sz w:val="21"/>
          <w:szCs w:val="21"/>
          <w:lang w:val="en-US" w:eastAsia="zh-CN" w:bidi="zh-CN"/>
        </w:rPr>
        <w:t>4</w:t>
      </w:r>
      <w:r>
        <w:rPr>
          <w:rFonts w:hint="eastAsia" w:cs="Times New Roman"/>
        </w:rPr>
        <w:t>应用项由“主控项”与“一般项”构成。原则上“主控项”为该应用项应达到的最低要求，“一般项”为该应用项拓展提升部分</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5.</w:t>
      </w:r>
      <w:r>
        <w:rPr>
          <w:rFonts w:hint="eastAsia" w:cs="宋体"/>
          <w:color w:val="auto"/>
          <w:sz w:val="21"/>
          <w:szCs w:val="21"/>
          <w:lang w:val="en-US" w:eastAsia="zh-CN" w:bidi="zh-CN"/>
        </w:rPr>
        <w:t>2</w:t>
      </w:r>
      <w:r>
        <w:rPr>
          <w:rFonts w:hint="eastAsia" w:ascii="宋体" w:hAnsi="宋体" w:eastAsia="宋体" w:cs="宋体"/>
          <w:color w:val="auto"/>
          <w:sz w:val="21"/>
          <w:szCs w:val="21"/>
          <w:lang w:val="en-US" w:eastAsia="zh-CN" w:bidi="zh-CN"/>
        </w:rPr>
        <w:t>.</w:t>
      </w:r>
      <w:r>
        <w:rPr>
          <w:rFonts w:hint="eastAsia" w:cs="宋体"/>
          <w:color w:val="auto"/>
          <w:sz w:val="21"/>
          <w:szCs w:val="21"/>
          <w:lang w:val="en-US" w:eastAsia="zh-CN" w:bidi="zh-CN"/>
        </w:rPr>
        <w:t>5</w:t>
      </w:r>
      <w:r>
        <w:rPr>
          <w:rFonts w:hint="eastAsia" w:cs="Times New Roman"/>
        </w:rPr>
        <w:t>等级评价应分为A级、AA级、AAA级</w:t>
      </w:r>
      <w:r>
        <w:rPr>
          <w:rFonts w:hint="eastAsia" w:ascii="宋体" w:hAnsi="宋体" w:eastAsia="宋体" w:cs="宋体"/>
          <w:color w:val="auto"/>
          <w:sz w:val="21"/>
          <w:szCs w:val="21"/>
          <w:lang w:val="zh-CN" w:eastAsia="zh-CN" w:bidi="zh-CN"/>
        </w:rPr>
        <w:t>。</w:t>
      </w:r>
    </w:p>
    <w:p>
      <w:pPr>
        <w:pStyle w:val="2"/>
        <w:rPr>
          <w:rFonts w:hint="eastAsia"/>
          <w:lang w:val="zh-CN" w:eastAsia="zh-CN"/>
        </w:rPr>
      </w:pP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r>
        <w:rPr>
          <w:rFonts w:hint="eastAsia" w:ascii="黑体" w:eastAsia="黑体"/>
          <w:sz w:val="21"/>
          <w:lang w:val="en-US" w:eastAsia="zh-CN"/>
        </w:rPr>
        <w:t>6评价方法</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r>
        <w:rPr>
          <w:rFonts w:hint="eastAsia" w:ascii="黑体" w:eastAsia="黑体"/>
          <w:sz w:val="21"/>
          <w:lang w:val="en-US" w:eastAsia="zh-CN"/>
        </w:rPr>
        <w:t>6.1评价方法</w:t>
      </w:r>
    </w:p>
    <w:p>
      <w:pPr>
        <w:tabs>
          <w:tab w:val="left" w:pos="6"/>
          <w:tab w:val="left" w:pos="426"/>
          <w:tab w:val="left" w:pos="567"/>
        </w:tabs>
        <w:spacing w:line="360" w:lineRule="auto"/>
        <w:ind w:left="6"/>
        <w:rPr>
          <w:rFonts w:hint="eastAsia" w:ascii="宋体" w:hAnsi="宋体" w:eastAsia="宋体" w:cs="宋体"/>
          <w:color w:val="auto"/>
          <w:sz w:val="21"/>
          <w:szCs w:val="21"/>
          <w:lang w:val="en-US" w:eastAsia="zh-CN" w:bidi="zh-CN"/>
        </w:rPr>
      </w:pPr>
      <w:r>
        <w:rPr>
          <w:rFonts w:hint="eastAsia" w:cs="宋体"/>
          <w:color w:val="auto"/>
          <w:sz w:val="21"/>
          <w:szCs w:val="21"/>
          <w:lang w:val="en-US" w:eastAsia="zh-CN" w:bidi="zh-CN"/>
        </w:rPr>
        <w:t>6</w:t>
      </w:r>
      <w:r>
        <w:rPr>
          <w:rFonts w:hint="eastAsia" w:ascii="宋体" w:hAnsi="宋体" w:eastAsia="宋体" w:cs="宋体"/>
          <w:color w:val="auto"/>
          <w:sz w:val="21"/>
          <w:szCs w:val="21"/>
          <w:lang w:val="en-US" w:eastAsia="zh-CN" w:bidi="zh-CN"/>
        </w:rPr>
        <w:t>.1.1</w:t>
      </w:r>
      <w:r>
        <w:rPr>
          <w:rFonts w:hint="eastAsia" w:cs="宋体"/>
          <w:color w:val="auto"/>
          <w:sz w:val="21"/>
          <w:szCs w:val="21"/>
          <w:lang w:val="en-US" w:eastAsia="zh-CN" w:bidi="zh-CN"/>
        </w:rPr>
        <w:t>基本要求</w:t>
      </w:r>
    </w:p>
    <w:p>
      <w:pPr>
        <w:tabs>
          <w:tab w:val="left" w:pos="6"/>
          <w:tab w:val="left" w:pos="426"/>
          <w:tab w:val="left" w:pos="567"/>
        </w:tabs>
        <w:spacing w:line="360" w:lineRule="auto"/>
        <w:ind w:left="6"/>
        <w:rPr>
          <w:rFonts w:hint="eastAsia" w:eastAsia="宋体"/>
          <w:lang w:val="en-US" w:eastAsia="zh-CN"/>
        </w:rPr>
      </w:pPr>
      <w:r>
        <w:rPr>
          <w:rFonts w:hint="eastAsia" w:cs="宋体"/>
          <w:color w:val="auto"/>
          <w:sz w:val="21"/>
          <w:szCs w:val="21"/>
          <w:lang w:val="en-US" w:eastAsia="zh-CN" w:bidi="zh-CN"/>
        </w:rPr>
        <w:tab/>
      </w:r>
      <w:r>
        <w:rPr>
          <w:rFonts w:hint="eastAsia" w:cs="Times New Roman"/>
        </w:rPr>
        <w:t>根据《青岛市建筑工程智慧化工地建设内容指引》（2021版）要求，对评</w:t>
      </w:r>
      <w:r>
        <w:rPr>
          <w:rFonts w:hint="eastAsia" w:cs="Times New Roman"/>
          <w:lang w:eastAsia="zh-CN"/>
        </w:rPr>
        <w:t>价</w:t>
      </w:r>
      <w:r>
        <w:rPr>
          <w:rFonts w:hint="eastAsia" w:cs="Times New Roman"/>
        </w:rPr>
        <w:t>条件进行细化说明。智慧化工地评定采用“等级评定”+“分数排名”的形式</w:t>
      </w:r>
      <w:r>
        <w:rPr>
          <w:rFonts w:hint="eastAsia" w:cs="Times New Roman"/>
          <w:lang w:eastAsia="zh-CN"/>
        </w:rPr>
        <w:t>。</w:t>
      </w:r>
    </w:p>
    <w:p>
      <w:pPr>
        <w:tabs>
          <w:tab w:val="left" w:pos="6"/>
          <w:tab w:val="left" w:pos="426"/>
          <w:tab w:val="left" w:pos="567"/>
        </w:tabs>
        <w:spacing w:line="360" w:lineRule="auto"/>
        <w:ind w:left="6" w:firstLine="480"/>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a)</w:t>
      </w:r>
      <w:r>
        <w:rPr>
          <w:rFonts w:hint="eastAsia" w:cs="Times New Roman"/>
        </w:rPr>
        <w:t>所有应用项数据资料、应用情况应真实有效</w:t>
      </w:r>
      <w:r>
        <w:rPr>
          <w:rFonts w:hint="eastAsia" w:ascii="宋体" w:hAnsi="宋体" w:eastAsia="宋体" w:cs="宋体"/>
          <w:color w:val="auto"/>
          <w:sz w:val="21"/>
          <w:szCs w:val="21"/>
          <w:lang w:val="zh-CN" w:eastAsia="zh-CN" w:bidi="zh-CN"/>
        </w:rPr>
        <w:t>。</w:t>
      </w:r>
    </w:p>
    <w:p>
      <w:pPr>
        <w:tabs>
          <w:tab w:val="left" w:pos="6"/>
          <w:tab w:val="left" w:pos="426"/>
          <w:tab w:val="left" w:pos="567"/>
        </w:tabs>
        <w:spacing w:line="360" w:lineRule="auto"/>
        <w:ind w:left="6" w:firstLine="480"/>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color w:val="auto"/>
          <w:sz w:val="21"/>
          <w:szCs w:val="21"/>
          <w:lang w:val="en-US" w:eastAsia="zh-CN" w:bidi="zh-CN"/>
        </w:rPr>
        <w:t>b)</w:t>
      </w:r>
      <w:r>
        <w:rPr>
          <w:rFonts w:hint="eastAsia" w:cs="Times New Roman"/>
          <w:b w:val="0"/>
          <w:bCs w:val="0"/>
        </w:rPr>
        <w:t>数据存储、上传均应符合</w:t>
      </w:r>
      <w:r>
        <w:rPr>
          <w:rFonts w:hint="eastAsia"/>
          <w:b w:val="0"/>
          <w:bCs w:val="0"/>
        </w:rPr>
        <w:t>青岛市《智慧化工地建设标准》及</w:t>
      </w:r>
      <w:r>
        <w:rPr>
          <w:rFonts w:hint="eastAsia" w:cs="Times New Roman"/>
          <w:b w:val="0"/>
          <w:bCs w:val="0"/>
        </w:rPr>
        <w:t>行业平台相关要求</w:t>
      </w:r>
      <w:r>
        <w:rPr>
          <w:rFonts w:hint="eastAsia" w:ascii="宋体" w:hAnsi="宋体" w:eastAsia="宋体" w:cs="宋体"/>
          <w:b w:val="0"/>
          <w:bCs w:val="0"/>
          <w:color w:val="auto"/>
          <w:sz w:val="21"/>
          <w:szCs w:val="21"/>
          <w:lang w:val="zh-CN" w:eastAsia="zh-CN" w:bidi="zh-CN"/>
        </w:rPr>
        <w:t>。</w:t>
      </w:r>
    </w:p>
    <w:p>
      <w:pPr>
        <w:tabs>
          <w:tab w:val="left" w:pos="6"/>
          <w:tab w:val="left" w:pos="426"/>
          <w:tab w:val="left" w:pos="567"/>
        </w:tabs>
        <w:spacing w:line="360" w:lineRule="auto"/>
        <w:ind w:left="6"/>
        <w:rPr>
          <w:rFonts w:hint="eastAsia"/>
          <w:b w:val="0"/>
          <w:bCs w:val="0"/>
        </w:rPr>
      </w:pPr>
      <w:r>
        <w:rPr>
          <w:rFonts w:hint="eastAsia" w:cs="宋体"/>
          <w:b w:val="0"/>
          <w:bCs w:val="0"/>
          <w:color w:val="auto"/>
          <w:sz w:val="21"/>
          <w:szCs w:val="21"/>
          <w:lang w:val="en-US" w:eastAsia="zh-CN" w:bidi="zh-CN"/>
        </w:rPr>
        <w:t>6</w:t>
      </w:r>
      <w:r>
        <w:rPr>
          <w:rFonts w:hint="eastAsia" w:ascii="宋体" w:hAnsi="宋体" w:eastAsia="宋体" w:cs="宋体"/>
          <w:b w:val="0"/>
          <w:bCs w:val="0"/>
          <w:color w:val="auto"/>
          <w:sz w:val="21"/>
          <w:szCs w:val="21"/>
          <w:lang w:val="en-US" w:eastAsia="zh-CN" w:bidi="zh-CN"/>
        </w:rPr>
        <w:t>.1.</w:t>
      </w:r>
      <w:r>
        <w:rPr>
          <w:rFonts w:hint="eastAsia" w:cs="宋体"/>
          <w:b w:val="0"/>
          <w:bCs w:val="0"/>
          <w:color w:val="auto"/>
          <w:sz w:val="21"/>
          <w:szCs w:val="21"/>
          <w:lang w:val="en-US" w:eastAsia="zh-CN" w:bidi="zh-CN"/>
        </w:rPr>
        <w:t>2智慧化工地</w:t>
      </w:r>
      <w:r>
        <w:rPr>
          <w:rFonts w:hint="eastAsia"/>
          <w:b w:val="0"/>
          <w:bCs w:val="0"/>
        </w:rPr>
        <w:t>等级</w:t>
      </w:r>
      <w:r>
        <w:rPr>
          <w:rFonts w:hint="eastAsia"/>
          <w:b w:val="0"/>
          <w:bCs w:val="0"/>
          <w:lang w:eastAsia="zh-CN"/>
        </w:rPr>
        <w:t>应满足以下要求：</w:t>
      </w:r>
    </w:p>
    <w:p>
      <w:pPr>
        <w:numPr>
          <w:ilvl w:val="0"/>
          <w:numId w:val="0"/>
        </w:numPr>
        <w:snapToGrid/>
        <w:spacing w:line="360" w:lineRule="auto"/>
        <w:ind w:leftChars="200" w:right="0" w:rightChars="0"/>
        <w:rPr>
          <w:rFonts w:cs="Times New Roman"/>
        </w:rPr>
      </w:pPr>
      <w:r>
        <w:rPr>
          <w:rFonts w:hint="eastAsia" w:ascii="宋体" w:hAnsi="宋体" w:eastAsia="宋体" w:cs="宋体"/>
          <w:color w:val="auto"/>
          <w:sz w:val="21"/>
          <w:szCs w:val="21"/>
          <w:lang w:val="en-US" w:eastAsia="zh-CN" w:bidi="zh-CN"/>
        </w:rPr>
        <w:t>a)</w:t>
      </w:r>
      <w:r>
        <w:rPr>
          <w:rFonts w:hint="eastAsia" w:cs="Times New Roman"/>
        </w:rPr>
        <w:t>A级智慧化工地：18项“基础项”中的“主控项”全部符合要求。</w:t>
      </w:r>
    </w:p>
    <w:p>
      <w:pPr>
        <w:numPr>
          <w:ilvl w:val="0"/>
          <w:numId w:val="0"/>
        </w:numPr>
        <w:snapToGrid/>
        <w:spacing w:line="360" w:lineRule="auto"/>
        <w:ind w:right="0" w:rightChars="0" w:firstLine="420" w:firstLineChars="200"/>
        <w:rPr>
          <w:rFonts w:cs="Times New Roman"/>
        </w:rPr>
      </w:pPr>
      <w:r>
        <w:rPr>
          <w:rFonts w:hint="eastAsia" w:ascii="宋体" w:hAnsi="宋体" w:eastAsia="宋体" w:cs="宋体"/>
          <w:color w:val="auto"/>
          <w:sz w:val="21"/>
          <w:szCs w:val="21"/>
          <w:lang w:val="en-US" w:eastAsia="zh-CN" w:bidi="zh-CN"/>
        </w:rPr>
        <w:t>b)</w:t>
      </w:r>
      <w:r>
        <w:rPr>
          <w:rFonts w:hint="eastAsia" w:cs="Times New Roman"/>
        </w:rPr>
        <w:t>AA级智慧化工地：在18项“基础项”的基础上，增加不少于10项“推广项”（包含必选项），</w:t>
      </w:r>
      <w:r>
        <w:rPr>
          <w:rFonts w:hint="eastAsia" w:cs="Times New Roman"/>
          <w:lang w:eastAsia="zh-CN"/>
        </w:rPr>
        <w:t>所有</w:t>
      </w:r>
      <w:r>
        <w:rPr>
          <w:rFonts w:hint="eastAsia" w:cs="Times New Roman"/>
        </w:rPr>
        <w:t>应用项的“主控项”全部符合要求。</w:t>
      </w:r>
    </w:p>
    <w:p>
      <w:pPr>
        <w:numPr>
          <w:ilvl w:val="0"/>
          <w:numId w:val="0"/>
        </w:numPr>
        <w:snapToGrid/>
        <w:spacing w:line="360" w:lineRule="auto"/>
        <w:ind w:right="0" w:rightChars="0" w:firstLine="420" w:firstLineChars="200"/>
        <w:rPr>
          <w:rFonts w:cs="Times New Roman"/>
        </w:rPr>
      </w:pPr>
      <w:r>
        <w:rPr>
          <w:rFonts w:hint="eastAsia" w:cs="宋体"/>
          <w:color w:val="auto"/>
          <w:sz w:val="21"/>
          <w:szCs w:val="21"/>
          <w:lang w:val="en-US" w:eastAsia="zh-CN" w:bidi="zh-CN"/>
        </w:rPr>
        <w:t>c</w:t>
      </w:r>
      <w:r>
        <w:rPr>
          <w:rFonts w:hint="eastAsia" w:ascii="宋体" w:hAnsi="宋体" w:eastAsia="宋体" w:cs="宋体"/>
          <w:color w:val="auto"/>
          <w:sz w:val="21"/>
          <w:szCs w:val="21"/>
          <w:lang w:val="en-US" w:eastAsia="zh-CN" w:bidi="zh-CN"/>
        </w:rPr>
        <w:t>)</w:t>
      </w:r>
      <w:r>
        <w:rPr>
          <w:rFonts w:hint="eastAsia" w:cs="Times New Roman"/>
        </w:rPr>
        <w:t>AAA级智慧化工地：在18项“基础项”的基础上，增加不少于20项“推广项”（包含必选项）</w:t>
      </w:r>
      <w:r>
        <w:rPr>
          <w:rFonts w:hint="eastAsia" w:cs="Times New Roman"/>
          <w:lang w:eastAsia="zh-CN"/>
        </w:rPr>
        <w:t>、</w:t>
      </w:r>
      <w:r>
        <w:rPr>
          <w:rFonts w:hint="eastAsia" w:cs="Times New Roman"/>
        </w:rPr>
        <w:t>2项“提升项”（包含必选项），</w:t>
      </w:r>
      <w:r>
        <w:rPr>
          <w:rFonts w:hint="eastAsia" w:cs="Times New Roman"/>
          <w:lang w:eastAsia="zh-CN"/>
        </w:rPr>
        <w:t>所有</w:t>
      </w:r>
      <w:r>
        <w:rPr>
          <w:rFonts w:hint="eastAsia" w:cs="Times New Roman"/>
        </w:rPr>
        <w:t>应用项的“主控项”全部符合要求。</w:t>
      </w:r>
    </w:p>
    <w:p>
      <w:pPr>
        <w:snapToGrid/>
        <w:spacing w:line="360" w:lineRule="auto"/>
        <w:ind w:firstLine="330" w:firstLineChars="150"/>
        <w:rPr>
          <w:rFonts w:cs="Times New Roman"/>
        </w:rPr>
      </w:pPr>
      <w:r>
        <w:rPr>
          <w:rFonts w:hint="eastAsia" w:cs="Times New Roman"/>
        </w:rPr>
        <w:t>主控</w:t>
      </w:r>
      <w:r>
        <w:rPr>
          <w:rFonts w:cs="Times New Roman"/>
        </w:rPr>
        <w:t>项指标</w:t>
      </w:r>
      <w:r>
        <w:rPr>
          <w:rFonts w:hint="eastAsia" w:cs="Times New Roman"/>
        </w:rPr>
        <w:t>应</w:t>
      </w:r>
      <w:r>
        <w:rPr>
          <w:rFonts w:cs="Times New Roman"/>
        </w:rPr>
        <w:t>全部满足</w:t>
      </w:r>
      <w:r>
        <w:rPr>
          <w:rFonts w:hint="eastAsia" w:cs="Times New Roman"/>
        </w:rPr>
        <w:t>，主控项</w:t>
      </w:r>
      <w:r>
        <w:rPr>
          <w:rFonts w:cs="Times New Roman"/>
        </w:rPr>
        <w:t>评价方法应符合表</w:t>
      </w:r>
      <w:r>
        <w:rPr>
          <w:rFonts w:hint="eastAsia" w:cs="Times New Roman"/>
        </w:rPr>
        <w:t>5</w:t>
      </w:r>
      <w:r>
        <w:rPr>
          <w:rFonts w:cs="Times New Roman"/>
        </w:rPr>
        <w:t>.</w:t>
      </w:r>
      <w:r>
        <w:rPr>
          <w:rFonts w:hint="eastAsia" w:cs="Times New Roman"/>
        </w:rPr>
        <w:t>1.1</w:t>
      </w:r>
      <w:r>
        <w:rPr>
          <w:rFonts w:cs="Times New Roman"/>
        </w:rPr>
        <w:t>-1的规定。</w:t>
      </w:r>
    </w:p>
    <w:p>
      <w:pPr>
        <w:snapToGrid/>
        <w:spacing w:line="360" w:lineRule="auto"/>
        <w:ind w:firstLine="482"/>
        <w:jc w:val="center"/>
        <w:rPr>
          <w:rFonts w:cs="Times New Roman"/>
          <w:b/>
        </w:rPr>
      </w:pPr>
      <w:r>
        <w:rPr>
          <w:rFonts w:cs="Times New Roman"/>
          <w:b/>
        </w:rPr>
        <w:t>表</w:t>
      </w:r>
      <w:r>
        <w:rPr>
          <w:rFonts w:hint="eastAsia" w:cs="Times New Roman"/>
          <w:b/>
        </w:rPr>
        <w:t>5</w:t>
      </w:r>
      <w:r>
        <w:rPr>
          <w:rFonts w:cs="Times New Roman"/>
          <w:b/>
        </w:rPr>
        <w:t>.</w:t>
      </w:r>
      <w:r>
        <w:rPr>
          <w:rFonts w:hint="eastAsia" w:cs="Times New Roman"/>
          <w:b/>
        </w:rPr>
        <w:t>1</w:t>
      </w:r>
      <w:r>
        <w:rPr>
          <w:rFonts w:cs="Times New Roman"/>
          <w:b/>
        </w:rPr>
        <w:t>.</w:t>
      </w:r>
      <w:r>
        <w:rPr>
          <w:rFonts w:hint="eastAsia" w:cs="Times New Roman"/>
          <w:b/>
        </w:rPr>
        <w:t>1</w:t>
      </w:r>
      <w:r>
        <w:rPr>
          <w:rFonts w:cs="Times New Roman"/>
          <w:b/>
        </w:rPr>
        <w:t>-1</w:t>
      </w:r>
      <w:r>
        <w:rPr>
          <w:rFonts w:hint="eastAsia" w:cs="Times New Roman"/>
          <w:b/>
        </w:rPr>
        <w:t>主控</w:t>
      </w:r>
      <w:r>
        <w:rPr>
          <w:rFonts w:cs="Times New Roman"/>
          <w:b/>
        </w:rPr>
        <w:t>项评价方法</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1765"/>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933" w:type="dxa"/>
            <w:vAlign w:val="center"/>
          </w:tcPr>
          <w:p>
            <w:pPr>
              <w:ind w:left="0" w:leftChars="-2" w:hanging="4" w:hangingChars="2"/>
              <w:jc w:val="center"/>
              <w:rPr>
                <w:rFonts w:ascii="Calibri" w:hAnsi="Calibri" w:cs="Times New Roman"/>
                <w:sz w:val="21"/>
              </w:rPr>
            </w:pPr>
            <w:r>
              <w:rPr>
                <w:rFonts w:ascii="Calibri" w:hAnsi="Calibri" w:cs="Times New Roman"/>
                <w:sz w:val="21"/>
              </w:rPr>
              <w:t>评分要求</w:t>
            </w:r>
          </w:p>
        </w:tc>
        <w:tc>
          <w:tcPr>
            <w:tcW w:w="1765" w:type="dxa"/>
            <w:vAlign w:val="center"/>
          </w:tcPr>
          <w:p>
            <w:pPr>
              <w:jc w:val="center"/>
              <w:rPr>
                <w:rFonts w:ascii="Calibri" w:hAnsi="Calibri" w:cs="Times New Roman"/>
                <w:sz w:val="21"/>
              </w:rPr>
            </w:pPr>
            <w:r>
              <w:rPr>
                <w:rFonts w:ascii="Calibri" w:hAnsi="Calibri" w:cs="Times New Roman"/>
                <w:sz w:val="21"/>
              </w:rPr>
              <w:t>结论</w:t>
            </w:r>
          </w:p>
        </w:tc>
        <w:tc>
          <w:tcPr>
            <w:tcW w:w="3141" w:type="dxa"/>
            <w:vAlign w:val="center"/>
          </w:tcPr>
          <w:p>
            <w:pPr>
              <w:ind w:firstLine="33" w:firstLineChars="16"/>
              <w:jc w:val="center"/>
              <w:rPr>
                <w:rFonts w:ascii="Calibri" w:hAnsi="Calibri" w:cs="Times New Roman"/>
                <w:sz w:val="21"/>
              </w:rPr>
            </w:pPr>
            <w:r>
              <w:rPr>
                <w:rFonts w:ascii="Calibri" w:hAnsi="Calibri" w:cs="Times New Roman"/>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3" w:type="dxa"/>
            <w:vAlign w:val="center"/>
          </w:tcPr>
          <w:p>
            <w:pPr>
              <w:jc w:val="center"/>
              <w:rPr>
                <w:rFonts w:ascii="Calibri" w:hAnsi="Calibri" w:cs="Times New Roman"/>
                <w:sz w:val="21"/>
              </w:rPr>
            </w:pPr>
            <w:r>
              <w:rPr>
                <w:rFonts w:ascii="Calibri" w:hAnsi="Calibri"/>
                <w:sz w:val="21"/>
                <w:szCs w:val="18"/>
              </w:rPr>
              <w:t>满足指标要求</w:t>
            </w:r>
          </w:p>
        </w:tc>
        <w:tc>
          <w:tcPr>
            <w:tcW w:w="1765" w:type="dxa"/>
            <w:vAlign w:val="center"/>
          </w:tcPr>
          <w:p>
            <w:pPr>
              <w:jc w:val="center"/>
              <w:rPr>
                <w:rFonts w:ascii="Calibri" w:hAnsi="Calibri" w:cs="Times New Roman"/>
                <w:sz w:val="21"/>
              </w:rPr>
            </w:pPr>
            <w:r>
              <w:rPr>
                <w:rFonts w:ascii="Calibri" w:hAnsi="Calibri"/>
                <w:sz w:val="21"/>
                <w:szCs w:val="18"/>
              </w:rPr>
              <w:t>符合要求</w:t>
            </w:r>
          </w:p>
        </w:tc>
        <w:tc>
          <w:tcPr>
            <w:tcW w:w="3141" w:type="dxa"/>
            <w:vAlign w:val="center"/>
          </w:tcPr>
          <w:p>
            <w:pPr>
              <w:jc w:val="center"/>
              <w:rPr>
                <w:rFonts w:ascii="Calibri" w:hAnsi="Calibri" w:cs="Times New Roman"/>
                <w:sz w:val="21"/>
              </w:rPr>
            </w:pPr>
            <w:r>
              <w:rPr>
                <w:rFonts w:ascii="Calibri" w:hAnsi="Calibri"/>
                <w:sz w:val="21"/>
                <w:szCs w:val="18"/>
              </w:rPr>
              <w:t>进入评分流程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3" w:type="dxa"/>
            <w:vAlign w:val="center"/>
          </w:tcPr>
          <w:p>
            <w:pPr>
              <w:jc w:val="center"/>
              <w:rPr>
                <w:rFonts w:ascii="Calibri" w:hAnsi="Calibri" w:cs="Times New Roman"/>
                <w:sz w:val="21"/>
              </w:rPr>
            </w:pPr>
            <w:r>
              <w:rPr>
                <w:rFonts w:ascii="Calibri" w:hAnsi="Calibri"/>
                <w:sz w:val="21"/>
                <w:szCs w:val="18"/>
              </w:rPr>
              <w:t>不满足指标要求</w:t>
            </w:r>
          </w:p>
        </w:tc>
        <w:tc>
          <w:tcPr>
            <w:tcW w:w="1765" w:type="dxa"/>
            <w:vAlign w:val="center"/>
          </w:tcPr>
          <w:p>
            <w:pPr>
              <w:jc w:val="center"/>
              <w:rPr>
                <w:rFonts w:ascii="Calibri" w:hAnsi="Calibri" w:cs="Times New Roman"/>
                <w:sz w:val="21"/>
              </w:rPr>
            </w:pPr>
            <w:r>
              <w:rPr>
                <w:rFonts w:ascii="Calibri" w:hAnsi="Calibri"/>
                <w:sz w:val="21"/>
                <w:szCs w:val="18"/>
              </w:rPr>
              <w:t>不符合要求</w:t>
            </w:r>
          </w:p>
        </w:tc>
        <w:tc>
          <w:tcPr>
            <w:tcW w:w="3141" w:type="dxa"/>
            <w:vAlign w:val="center"/>
          </w:tcPr>
          <w:p>
            <w:pPr>
              <w:jc w:val="center"/>
              <w:rPr>
                <w:rFonts w:ascii="Calibri" w:hAnsi="Calibri" w:cs="Times New Roman"/>
                <w:sz w:val="21"/>
              </w:rPr>
            </w:pPr>
            <w:r>
              <w:rPr>
                <w:rFonts w:hint="eastAsia" w:ascii="Calibri" w:hAnsi="Calibri"/>
                <w:sz w:val="21"/>
                <w:szCs w:val="18"/>
              </w:rPr>
              <w:t>该项</w:t>
            </w:r>
            <w:r>
              <w:rPr>
                <w:rFonts w:ascii="Calibri" w:hAnsi="Calibri"/>
                <w:sz w:val="21"/>
                <w:szCs w:val="18"/>
              </w:rPr>
              <w:t>一票否决</w:t>
            </w:r>
          </w:p>
        </w:tc>
      </w:tr>
    </w:tbl>
    <w:p>
      <w:pPr>
        <w:snapToGrid/>
        <w:spacing w:line="360" w:lineRule="auto"/>
        <w:rPr>
          <w:rFonts w:hint="eastAsia" w:cs="宋体"/>
          <w:b w:val="0"/>
          <w:bCs w:val="0"/>
          <w:color w:val="auto"/>
          <w:sz w:val="21"/>
          <w:szCs w:val="21"/>
          <w:lang w:val="en-US" w:eastAsia="zh-CN" w:bidi="zh-CN"/>
        </w:rPr>
      </w:pPr>
      <w:r>
        <w:rPr>
          <w:rFonts w:hint="eastAsia" w:eastAsia="楷体"/>
          <w:lang w:eastAsia="zh-CN"/>
        </w:rPr>
        <w:t>注：</w:t>
      </w:r>
      <w:r>
        <w:rPr>
          <w:rFonts w:hint="eastAsia" w:eastAsia="楷体"/>
        </w:rPr>
        <w:t>智慧化工地的评价等级宜根据行业趋势、监管要求、技术发展水平、应用面等情况确定分级。若项目施工内容不含基础项所规定的内容，可申请取消该项分，并提供特殊情况说明。</w:t>
      </w:r>
    </w:p>
    <w:p>
      <w:pPr>
        <w:snapToGrid/>
        <w:spacing w:line="360" w:lineRule="auto"/>
        <w:rPr>
          <w:rFonts w:hint="eastAsia" w:eastAsia="宋体"/>
          <w:b w:val="0"/>
          <w:bCs w:val="0"/>
          <w:lang w:eastAsia="zh-CN"/>
        </w:rPr>
      </w:pPr>
      <w:r>
        <w:rPr>
          <w:rFonts w:hint="eastAsia" w:cs="宋体"/>
          <w:b w:val="0"/>
          <w:bCs w:val="0"/>
          <w:color w:val="auto"/>
          <w:sz w:val="21"/>
          <w:szCs w:val="21"/>
          <w:lang w:val="en-US" w:eastAsia="zh-CN" w:bidi="zh-CN"/>
        </w:rPr>
        <w:t>6</w:t>
      </w:r>
      <w:r>
        <w:rPr>
          <w:rFonts w:hint="eastAsia" w:ascii="宋体" w:hAnsi="宋体" w:eastAsia="宋体" w:cs="宋体"/>
          <w:b w:val="0"/>
          <w:bCs w:val="0"/>
          <w:color w:val="auto"/>
          <w:sz w:val="21"/>
          <w:szCs w:val="21"/>
          <w:lang w:val="en-US" w:eastAsia="zh-CN" w:bidi="zh-CN"/>
        </w:rPr>
        <w:t>.1.</w:t>
      </w:r>
      <w:r>
        <w:rPr>
          <w:rFonts w:hint="eastAsia" w:cs="宋体"/>
          <w:b w:val="0"/>
          <w:bCs w:val="0"/>
          <w:color w:val="auto"/>
          <w:sz w:val="21"/>
          <w:szCs w:val="21"/>
          <w:lang w:val="en-US" w:eastAsia="zh-CN" w:bidi="zh-CN"/>
        </w:rPr>
        <w:t>2同一</w:t>
      </w:r>
      <w:r>
        <w:rPr>
          <w:rFonts w:hint="eastAsia"/>
          <w:b w:val="0"/>
          <w:bCs w:val="0"/>
        </w:rPr>
        <w:t>等级</w:t>
      </w:r>
      <w:r>
        <w:rPr>
          <w:rFonts w:hint="eastAsia"/>
          <w:b w:val="0"/>
          <w:bCs w:val="0"/>
          <w:lang w:eastAsia="zh-CN"/>
        </w:rPr>
        <w:t>内按评定</w:t>
      </w:r>
      <w:r>
        <w:rPr>
          <w:rFonts w:hint="eastAsia"/>
          <w:b w:val="0"/>
          <w:bCs w:val="0"/>
        </w:rPr>
        <w:t>分数排名</w:t>
      </w:r>
      <w:r>
        <w:rPr>
          <w:rFonts w:hint="eastAsia"/>
          <w:b w:val="0"/>
          <w:bCs w:val="0"/>
          <w:lang w:eastAsia="zh-CN"/>
        </w:rPr>
        <w:t>：</w:t>
      </w:r>
    </w:p>
    <w:p>
      <w:pPr>
        <w:numPr>
          <w:ilvl w:val="0"/>
          <w:numId w:val="3"/>
        </w:numPr>
        <w:snapToGrid/>
        <w:spacing w:line="360" w:lineRule="auto"/>
        <w:ind w:firstLine="440" w:firstLineChars="200"/>
        <w:rPr>
          <w:rFonts w:cs="Times New Roman"/>
        </w:rPr>
      </w:pPr>
      <w:r>
        <w:rPr>
          <w:rFonts w:hint="eastAsia" w:cs="Times New Roman"/>
        </w:rPr>
        <w:t>在等级评定符合A级、AA级、AAA级智慧化工地的基础上，</w:t>
      </w:r>
      <w:r>
        <w:rPr>
          <w:rFonts w:hint="eastAsia" w:cs="Times New Roman"/>
          <w:lang w:eastAsia="zh-CN"/>
        </w:rPr>
        <w:t>按</w:t>
      </w:r>
      <w:r>
        <w:rPr>
          <w:rFonts w:hint="eastAsia" w:cs="Times New Roman"/>
        </w:rPr>
        <w:t>所选应用项中的“一般项”实际应用分数累计的方式计算总得分。</w:t>
      </w:r>
    </w:p>
    <w:p>
      <w:pPr>
        <w:snapToGrid/>
        <w:spacing w:line="360" w:lineRule="auto"/>
        <w:ind w:firstLine="420" w:firstLineChars="200"/>
        <w:rPr>
          <w:rFonts w:cs="Times New Roman"/>
        </w:rPr>
      </w:pPr>
      <w:r>
        <w:rPr>
          <w:rFonts w:hint="eastAsia" w:ascii="宋体" w:hAnsi="宋体" w:eastAsia="宋体" w:cs="宋体"/>
          <w:color w:val="auto"/>
          <w:sz w:val="21"/>
          <w:szCs w:val="21"/>
          <w:lang w:val="en-US" w:eastAsia="zh-CN" w:bidi="zh-CN"/>
        </w:rPr>
        <w:t>b)</w:t>
      </w:r>
      <w:r>
        <w:rPr>
          <w:rFonts w:hint="eastAsia" w:cs="Times New Roman"/>
        </w:rPr>
        <w:t>一般项指标应根据实际发生项执行的情况计分，控制项评价方法应符合表5.1.2-1的规定。</w:t>
      </w:r>
    </w:p>
    <w:p>
      <w:pPr>
        <w:snapToGrid/>
        <w:spacing w:line="360" w:lineRule="auto"/>
        <w:ind w:firstLine="482"/>
        <w:jc w:val="center"/>
        <w:rPr>
          <w:rFonts w:cs="Times New Roman"/>
          <w:b/>
        </w:rPr>
      </w:pPr>
      <w:r>
        <w:rPr>
          <w:rFonts w:cs="Times New Roman"/>
          <w:b/>
        </w:rPr>
        <w:t>表</w:t>
      </w:r>
      <w:r>
        <w:rPr>
          <w:rFonts w:hint="eastAsia" w:cs="Times New Roman"/>
          <w:b/>
          <w:lang w:val="en-US" w:eastAsia="zh-CN"/>
        </w:rPr>
        <w:t>6</w:t>
      </w:r>
      <w:r>
        <w:rPr>
          <w:rFonts w:cs="Times New Roman"/>
          <w:b/>
        </w:rPr>
        <w:t>.</w:t>
      </w:r>
      <w:r>
        <w:rPr>
          <w:rFonts w:hint="eastAsia" w:cs="Times New Roman"/>
          <w:b/>
        </w:rPr>
        <w:t>1</w:t>
      </w:r>
      <w:r>
        <w:rPr>
          <w:rFonts w:cs="Times New Roman"/>
          <w:b/>
        </w:rPr>
        <w:t>.</w:t>
      </w:r>
      <w:r>
        <w:rPr>
          <w:rFonts w:hint="eastAsia" w:cs="Times New Roman"/>
          <w:b/>
        </w:rPr>
        <w:t>2</w:t>
      </w:r>
      <w:r>
        <w:rPr>
          <w:rFonts w:cs="Times New Roman"/>
          <w:b/>
        </w:rPr>
        <w:t>-1</w:t>
      </w:r>
      <w:r>
        <w:rPr>
          <w:rFonts w:hint="eastAsia" w:cs="Times New Roman"/>
          <w:b/>
        </w:rPr>
        <w:t>一般</w:t>
      </w:r>
      <w:r>
        <w:rPr>
          <w:rFonts w:cs="Times New Roman"/>
          <w:b/>
        </w:rPr>
        <w:t>项评价方法</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4"/>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pPr>
              <w:ind w:left="0" w:leftChars="-2" w:hanging="4" w:hangingChars="2"/>
              <w:jc w:val="center"/>
              <w:rPr>
                <w:rFonts w:ascii="Calibri" w:hAnsi="Calibri" w:cs="Times New Roman"/>
                <w:sz w:val="21"/>
              </w:rPr>
            </w:pPr>
            <w:r>
              <w:rPr>
                <w:rFonts w:ascii="Calibri" w:hAnsi="Calibri" w:cs="Times New Roman"/>
                <w:sz w:val="21"/>
              </w:rPr>
              <w:t>评分要求</w:t>
            </w:r>
          </w:p>
        </w:tc>
        <w:tc>
          <w:tcPr>
            <w:tcW w:w="3075" w:type="dxa"/>
            <w:vAlign w:val="center"/>
          </w:tcPr>
          <w:p>
            <w:pPr>
              <w:ind w:firstLine="33" w:firstLineChars="16"/>
              <w:jc w:val="center"/>
              <w:rPr>
                <w:rFonts w:ascii="Calibri" w:hAnsi="Calibri" w:cs="Times New Roman"/>
                <w:sz w:val="21"/>
              </w:rPr>
            </w:pPr>
            <w:r>
              <w:rPr>
                <w:rFonts w:hint="eastAsia" w:ascii="Calibri" w:hAnsi="Calibri" w:cs="Times New Roman"/>
                <w:sz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pPr>
              <w:jc w:val="center"/>
              <w:rPr>
                <w:rFonts w:ascii="Calibri" w:hAnsi="Calibri" w:cs="Times New Roman"/>
                <w:sz w:val="21"/>
              </w:rPr>
            </w:pPr>
            <w:r>
              <w:rPr>
                <w:rFonts w:hint="eastAsia" w:ascii="Calibri" w:hAnsi="Calibri"/>
                <w:sz w:val="21"/>
                <w:szCs w:val="18"/>
              </w:rPr>
              <w:t>运行优良，数据完整</w:t>
            </w:r>
            <w:r>
              <w:rPr>
                <w:rFonts w:ascii="Calibri" w:hAnsi="Calibri"/>
                <w:sz w:val="21"/>
                <w:szCs w:val="18"/>
              </w:rPr>
              <w:t>，全部满足指标要求</w:t>
            </w:r>
          </w:p>
        </w:tc>
        <w:tc>
          <w:tcPr>
            <w:tcW w:w="3075" w:type="dxa"/>
            <w:vAlign w:val="center"/>
          </w:tcPr>
          <w:p>
            <w:pPr>
              <w:jc w:val="center"/>
              <w:rPr>
                <w:rFonts w:ascii="Calibri" w:hAnsi="Calibri" w:cs="Times New Roman"/>
                <w:sz w:val="21"/>
              </w:rPr>
            </w:pPr>
            <w:r>
              <w:rPr>
                <w:rFonts w:hint="eastAsia" w:ascii="Calibri" w:hAnsi="Calibri"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pPr>
              <w:jc w:val="center"/>
              <w:rPr>
                <w:rFonts w:ascii="Calibri" w:hAnsi="Calibri" w:cs="Times New Roman"/>
                <w:sz w:val="21"/>
              </w:rPr>
            </w:pPr>
            <w:r>
              <w:rPr>
                <w:rFonts w:hint="eastAsia" w:ascii="Calibri" w:hAnsi="Calibri"/>
                <w:sz w:val="21"/>
                <w:szCs w:val="18"/>
              </w:rPr>
              <w:t>运行正常，数据</w:t>
            </w:r>
            <w:r>
              <w:rPr>
                <w:rFonts w:ascii="Calibri" w:hAnsi="Calibri"/>
                <w:sz w:val="21"/>
                <w:szCs w:val="18"/>
              </w:rPr>
              <w:t>基本</w:t>
            </w:r>
            <w:r>
              <w:rPr>
                <w:rFonts w:hint="eastAsia" w:ascii="Calibri" w:hAnsi="Calibri"/>
                <w:sz w:val="21"/>
                <w:szCs w:val="18"/>
              </w:rPr>
              <w:t>完整</w:t>
            </w:r>
            <w:r>
              <w:rPr>
                <w:rFonts w:ascii="Calibri" w:hAnsi="Calibri"/>
                <w:sz w:val="21"/>
                <w:szCs w:val="18"/>
              </w:rPr>
              <w:t>，部分满足指标要求</w:t>
            </w:r>
          </w:p>
        </w:tc>
        <w:tc>
          <w:tcPr>
            <w:tcW w:w="3075" w:type="dxa"/>
            <w:vAlign w:val="center"/>
          </w:tcPr>
          <w:p>
            <w:pPr>
              <w:jc w:val="center"/>
              <w:rPr>
                <w:rFonts w:ascii="Calibri" w:hAnsi="Calibri" w:cs="Times New Roman"/>
                <w:sz w:val="21"/>
              </w:rPr>
            </w:pPr>
            <w:r>
              <w:rPr>
                <w:rFonts w:hint="eastAsia" w:ascii="Calibri" w:hAnsi="Calibri"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4" w:type="dxa"/>
            <w:vAlign w:val="center"/>
          </w:tcPr>
          <w:p>
            <w:pPr>
              <w:jc w:val="center"/>
              <w:rPr>
                <w:rFonts w:ascii="Calibri" w:hAnsi="Calibri" w:cs="Times New Roman"/>
                <w:sz w:val="21"/>
              </w:rPr>
            </w:pPr>
            <w:r>
              <w:rPr>
                <w:rFonts w:hint="eastAsia" w:ascii="Calibri" w:hAnsi="Calibri"/>
                <w:sz w:val="21"/>
                <w:szCs w:val="18"/>
              </w:rPr>
              <w:t>未实质运行，数据缺失严重</w:t>
            </w:r>
            <w:r>
              <w:rPr>
                <w:rFonts w:ascii="Calibri" w:hAnsi="Calibri"/>
                <w:sz w:val="21"/>
                <w:szCs w:val="18"/>
              </w:rPr>
              <w:t>，不满足指标要求</w:t>
            </w:r>
          </w:p>
        </w:tc>
        <w:tc>
          <w:tcPr>
            <w:tcW w:w="3075" w:type="dxa"/>
            <w:vAlign w:val="center"/>
          </w:tcPr>
          <w:p>
            <w:pPr>
              <w:jc w:val="center"/>
              <w:rPr>
                <w:rFonts w:ascii="Calibri" w:hAnsi="Calibri" w:cs="Times New Roman"/>
                <w:sz w:val="21"/>
              </w:rPr>
            </w:pPr>
            <w:r>
              <w:rPr>
                <w:rFonts w:hint="eastAsia" w:ascii="Calibri" w:hAnsi="Calibri" w:cs="Times New Roman"/>
                <w:sz w:val="21"/>
              </w:rPr>
              <w:t>0</w:t>
            </w:r>
          </w:p>
        </w:tc>
      </w:tr>
    </w:tbl>
    <w:p>
      <w:pPr>
        <w:snapToGrid/>
        <w:spacing w:line="360" w:lineRule="auto"/>
        <w:ind w:firstLine="420" w:firstLineChars="200"/>
        <w:rPr>
          <w:rFonts w:hint="eastAsia" w:cs="宋体"/>
          <w:color w:val="auto"/>
          <w:sz w:val="21"/>
          <w:szCs w:val="21"/>
          <w:lang w:val="en-US" w:eastAsia="zh-CN" w:bidi="zh-CN"/>
        </w:rPr>
      </w:pPr>
    </w:p>
    <w:p>
      <w:pPr>
        <w:snapToGrid/>
        <w:spacing w:line="360" w:lineRule="auto"/>
        <w:ind w:firstLine="420" w:firstLineChars="200"/>
        <w:rPr>
          <w:rFonts w:cs="Times New Roman"/>
        </w:rPr>
      </w:pPr>
      <w:r>
        <w:rPr>
          <w:rFonts w:hint="eastAsia" w:cs="宋体"/>
          <w:color w:val="auto"/>
          <w:sz w:val="21"/>
          <w:szCs w:val="21"/>
          <w:lang w:val="en-US" w:eastAsia="zh-CN" w:bidi="zh-CN"/>
        </w:rPr>
        <w:t>c</w:t>
      </w:r>
      <w:r>
        <w:rPr>
          <w:rFonts w:hint="eastAsia" w:ascii="宋体" w:hAnsi="宋体" w:eastAsia="宋体" w:cs="宋体"/>
          <w:color w:val="auto"/>
          <w:sz w:val="21"/>
          <w:szCs w:val="21"/>
          <w:lang w:val="en-US" w:eastAsia="zh-CN" w:bidi="zh-CN"/>
        </w:rPr>
        <w:t>)</w:t>
      </w:r>
      <w:r>
        <w:rPr>
          <w:rFonts w:hint="eastAsia" w:cs="Times New Roman"/>
        </w:rPr>
        <w:t>一般项得分应按百分制折算，并应按下式进行计算：</w:t>
      </w:r>
    </w:p>
    <w:p>
      <w:pPr>
        <w:snapToGrid/>
        <w:spacing w:line="360" w:lineRule="auto"/>
        <w:ind w:firstLine="440" w:firstLineChars="200"/>
        <w:jc w:val="right"/>
        <w:rPr>
          <w:rFonts w:cs="Times New Roman"/>
        </w:rPr>
      </w:pPr>
      <m:oMath>
        <m:r>
          <m:rPr>
            <m:sty m:val="p"/>
          </m:rPr>
          <w:rPr>
            <w:rFonts w:hint="eastAsia" w:ascii="Cambria Math" w:hAnsi="Cambria Math" w:cs="Times New Roman"/>
          </w:rPr>
          <m:t>A=</m:t>
        </m:r>
        <m:f>
          <m:fPr>
            <m:ctrlPr>
              <w:rPr>
                <w:rFonts w:hint="eastAsia" w:ascii="Cambria Math" w:hAnsi="Cambria Math" w:cs="Times New Roman"/>
              </w:rPr>
            </m:ctrlPr>
          </m:fPr>
          <m:num>
            <m:r>
              <m:rPr>
                <m:sty m:val="p"/>
              </m:rPr>
              <w:rPr>
                <w:rFonts w:hint="eastAsia" w:ascii="Cambria Math" w:hAnsi="Cambria Math" w:cs="Times New Roman"/>
              </w:rPr>
              <m:t>B</m:t>
            </m:r>
            <m:ctrlPr>
              <w:rPr>
                <w:rFonts w:hint="eastAsia" w:ascii="Cambria Math" w:hAnsi="Cambria Math" w:cs="Times New Roman"/>
              </w:rPr>
            </m:ctrlPr>
          </m:num>
          <m:den>
            <m:r>
              <m:rPr>
                <m:sty m:val="p"/>
              </m:rPr>
              <w:rPr>
                <w:rFonts w:hint="eastAsia" w:ascii="Cambria Math" w:hAnsi="Cambria Math" w:cs="Times New Roman"/>
              </w:rPr>
              <m:t>C</m:t>
            </m:r>
            <m:ctrlPr>
              <w:rPr>
                <w:rFonts w:hint="eastAsia" w:ascii="Cambria Math" w:hAnsi="Cambria Math" w:cs="Times New Roman"/>
              </w:rPr>
            </m:ctrlPr>
          </m:den>
        </m:f>
        <m:r>
          <m:rPr>
            <m:sty m:val="p"/>
          </m:rPr>
          <w:rPr>
            <w:rFonts w:hint="eastAsia" w:ascii="Cambria Math" w:hAnsi="Cambria Math" w:cs="Times New Roman"/>
          </w:rPr>
          <m:t>×100</m:t>
        </m:r>
      </m:oMath>
      <w:r>
        <w:rPr>
          <w:rFonts w:hint="eastAsia" w:cs="Times New Roman"/>
        </w:rPr>
        <w:t xml:space="preserve">  </w:t>
      </w:r>
      <w:r>
        <w:rPr>
          <w:rFonts w:cs="Times New Roman"/>
        </w:rPr>
        <w:t xml:space="preserve">                 （</w:t>
      </w:r>
      <w:r>
        <w:rPr>
          <w:rFonts w:hint="eastAsia" w:cs="Times New Roman"/>
          <w:lang w:val="en-US" w:eastAsia="zh-CN"/>
        </w:rPr>
        <w:t>6</w:t>
      </w:r>
      <w:r>
        <w:rPr>
          <w:rFonts w:cs="Times New Roman"/>
        </w:rPr>
        <w:t>.</w:t>
      </w:r>
      <w:r>
        <w:rPr>
          <w:rFonts w:hint="eastAsia" w:cs="Times New Roman"/>
        </w:rPr>
        <w:t>1</w:t>
      </w:r>
      <w:r>
        <w:rPr>
          <w:rFonts w:cs="Times New Roman"/>
        </w:rPr>
        <w:t>.</w:t>
      </w:r>
      <w:r>
        <w:rPr>
          <w:rFonts w:hint="eastAsia" w:cs="Times New Roman"/>
        </w:rPr>
        <w:t>2</w:t>
      </w:r>
      <w:r>
        <w:rPr>
          <w:rFonts w:cs="Times New Roman"/>
        </w:rPr>
        <w:t>-1）</w:t>
      </w:r>
    </w:p>
    <w:p>
      <w:pPr>
        <w:snapToGrid/>
        <w:spacing w:line="360" w:lineRule="auto"/>
        <w:ind w:firstLine="440" w:firstLineChars="200"/>
        <w:rPr>
          <w:rFonts w:cs="Times New Roman"/>
        </w:rPr>
      </w:pPr>
      <w:r>
        <w:rPr>
          <w:rFonts w:hint="eastAsia" w:cs="Times New Roman"/>
        </w:rPr>
        <w:t>式中：A—一般项评价得分；</w:t>
      </w:r>
    </w:p>
    <w:p>
      <w:pPr>
        <w:snapToGrid/>
        <w:spacing w:line="360" w:lineRule="auto"/>
        <w:ind w:firstLine="440" w:firstLineChars="200"/>
        <w:rPr>
          <w:rFonts w:cs="Times New Roman"/>
        </w:rPr>
      </w:pPr>
      <w:r>
        <w:rPr>
          <w:rFonts w:hint="eastAsia" w:cs="Times New Roman"/>
        </w:rPr>
        <w:t xml:space="preserve">      B—所选应用项实际发生“一般项”实际得分之和；</w:t>
      </w:r>
    </w:p>
    <w:p>
      <w:pPr>
        <w:snapToGrid/>
        <w:spacing w:line="360" w:lineRule="auto"/>
        <w:ind w:firstLine="440" w:firstLineChars="200"/>
        <w:rPr>
          <w:rFonts w:hint="eastAsia" w:cs="Times New Roman"/>
        </w:rPr>
      </w:pPr>
      <w:r>
        <w:rPr>
          <w:rFonts w:hint="eastAsia" w:cs="Times New Roman"/>
        </w:rPr>
        <w:t xml:space="preserve">      C—所选应用项所有“一般项”应得分之和。</w:t>
      </w:r>
    </w:p>
    <w:p>
      <w:pPr>
        <w:pStyle w:val="12"/>
        <w:numPr>
          <w:ilvl w:val="0"/>
          <w:numId w:val="0"/>
        </w:numPr>
        <w:tabs>
          <w:tab w:val="left" w:pos="396"/>
        </w:tabs>
        <w:spacing w:before="1" w:after="0" w:line="480" w:lineRule="auto"/>
        <w:ind w:right="0" w:rightChars="0"/>
        <w:jc w:val="left"/>
        <w:rPr>
          <w:rFonts w:hint="eastAsia" w:ascii="黑体" w:eastAsia="黑体"/>
          <w:sz w:val="21"/>
          <w:lang w:val="en-US" w:eastAsia="zh-CN"/>
        </w:rPr>
      </w:pPr>
      <w:bookmarkStart w:id="17" w:name="_Toc14662"/>
      <w:r>
        <w:rPr>
          <w:rFonts w:hint="eastAsia" w:ascii="黑体" w:eastAsia="黑体"/>
          <w:sz w:val="21"/>
          <w:lang w:val="en-US" w:eastAsia="zh-CN"/>
        </w:rPr>
        <w:t>6.2评价资料</w:t>
      </w:r>
      <w:bookmarkEnd w:id="17"/>
    </w:p>
    <w:p>
      <w:pPr>
        <w:snapToGrid/>
        <w:spacing w:line="360" w:lineRule="auto"/>
        <w:rPr>
          <w:rFonts w:cs="Times New Roman"/>
        </w:rPr>
      </w:pPr>
      <w:r>
        <w:rPr>
          <w:rFonts w:hint="eastAsia"/>
          <w:b/>
          <w:bCs/>
          <w:lang w:val="en-US" w:eastAsia="zh-CN"/>
        </w:rPr>
        <w:t>6</w:t>
      </w:r>
      <w:r>
        <w:rPr>
          <w:rFonts w:hint="eastAsia"/>
          <w:b/>
          <w:bCs/>
        </w:rPr>
        <w:t>.</w:t>
      </w:r>
      <w:r>
        <w:rPr>
          <w:rFonts w:hint="eastAsia"/>
          <w:b/>
          <w:bCs/>
          <w:lang w:val="en-US" w:eastAsia="zh-CN"/>
        </w:rPr>
        <w:t>2</w:t>
      </w:r>
      <w:r>
        <w:rPr>
          <w:rFonts w:hint="eastAsia"/>
          <w:b/>
          <w:bCs/>
        </w:rPr>
        <w:t>.1</w:t>
      </w:r>
      <w:r>
        <w:rPr>
          <w:rFonts w:hint="eastAsia" w:cs="Times New Roman"/>
        </w:rPr>
        <w:t>智慧化工地评价资料应按规定记录、收集、整理、分析、总结、存档、备案。</w:t>
      </w:r>
    </w:p>
    <w:p>
      <w:pPr>
        <w:snapToGrid/>
        <w:spacing w:line="360" w:lineRule="auto"/>
        <w:rPr>
          <w:rFonts w:cs="Times New Roman"/>
        </w:rPr>
      </w:pPr>
      <w:r>
        <w:rPr>
          <w:rFonts w:hint="eastAsia"/>
          <w:b/>
          <w:bCs/>
          <w:lang w:val="en-US" w:eastAsia="zh-CN"/>
        </w:rPr>
        <w:t>6</w:t>
      </w:r>
      <w:r>
        <w:rPr>
          <w:rFonts w:hint="eastAsia"/>
          <w:b/>
          <w:bCs/>
        </w:rPr>
        <w:t>.</w:t>
      </w:r>
      <w:r>
        <w:rPr>
          <w:rFonts w:hint="eastAsia"/>
          <w:b/>
          <w:bCs/>
          <w:lang w:val="en-US" w:eastAsia="zh-CN"/>
        </w:rPr>
        <w:t>2</w:t>
      </w:r>
      <w:r>
        <w:rPr>
          <w:rFonts w:hint="eastAsia"/>
          <w:b/>
          <w:bCs/>
        </w:rPr>
        <w:t>.2</w:t>
      </w:r>
      <w:r>
        <w:rPr>
          <w:rFonts w:hint="eastAsia" w:cs="Times New Roman"/>
        </w:rPr>
        <w:t>智慧化工地评价表应包括但不限于下列内容：</w:t>
      </w:r>
    </w:p>
    <w:p>
      <w:pPr>
        <w:snapToGrid/>
        <w:spacing w:line="360" w:lineRule="auto"/>
        <w:ind w:firstLine="420" w:firstLineChars="200"/>
        <w:rPr>
          <w:rFonts w:cs="Times New Roman"/>
        </w:rPr>
      </w:pPr>
      <w:r>
        <w:rPr>
          <w:rFonts w:hint="eastAsia" w:ascii="宋体" w:hAnsi="宋体" w:eastAsia="宋体" w:cs="宋体"/>
          <w:color w:val="auto"/>
          <w:sz w:val="21"/>
          <w:szCs w:val="21"/>
          <w:lang w:val="en-US" w:eastAsia="zh-CN" w:bidi="zh-CN"/>
        </w:rPr>
        <w:t>a)</w:t>
      </w:r>
      <w:r>
        <w:rPr>
          <w:rFonts w:hint="eastAsia"/>
        </w:rPr>
        <w:t>智慧化工地创建申请表</w:t>
      </w:r>
      <w:r>
        <w:rPr>
          <w:rFonts w:hint="eastAsia" w:cs="Times New Roman"/>
        </w:rPr>
        <w:t>（表</w:t>
      </w:r>
      <w:r>
        <w:rPr>
          <w:rFonts w:hint="eastAsia" w:cs="Times New Roman"/>
          <w:lang w:val="en-US" w:eastAsia="zh-CN"/>
        </w:rPr>
        <w:t>6</w:t>
      </w:r>
      <w:r>
        <w:rPr>
          <w:rFonts w:hint="eastAsia" w:cs="Times New Roman"/>
        </w:rPr>
        <w:t>.</w:t>
      </w:r>
      <w:r>
        <w:rPr>
          <w:rFonts w:hint="eastAsia" w:cs="Times New Roman"/>
          <w:lang w:val="en-US" w:eastAsia="zh-CN"/>
        </w:rPr>
        <w:t>2</w:t>
      </w:r>
      <w:r>
        <w:rPr>
          <w:rFonts w:hint="eastAsia" w:cs="Times New Roman"/>
        </w:rPr>
        <w:t>.2-1）；</w:t>
      </w:r>
    </w:p>
    <w:p>
      <w:pPr>
        <w:snapToGrid/>
        <w:spacing w:line="360" w:lineRule="auto"/>
        <w:ind w:firstLine="420" w:firstLineChars="200"/>
        <w:rPr>
          <w:rFonts w:cs="Times New Roman"/>
        </w:rPr>
      </w:pPr>
      <w:r>
        <w:rPr>
          <w:rFonts w:hint="eastAsia" w:ascii="宋体" w:hAnsi="宋体" w:eastAsia="宋体" w:cs="宋体"/>
          <w:color w:val="auto"/>
          <w:sz w:val="21"/>
          <w:szCs w:val="21"/>
          <w:lang w:val="en-US" w:eastAsia="zh-CN" w:bidi="zh-CN"/>
        </w:rPr>
        <w:t>b)</w:t>
      </w:r>
      <w:r>
        <w:rPr>
          <w:rFonts w:hint="eastAsia" w:cs="Times New Roman"/>
        </w:rPr>
        <w:t>智慧化工地评价表（表</w:t>
      </w:r>
      <w:r>
        <w:rPr>
          <w:rFonts w:hint="eastAsia" w:cs="Times New Roman"/>
          <w:lang w:val="en-US" w:eastAsia="zh-CN"/>
        </w:rPr>
        <w:t>6</w:t>
      </w:r>
      <w:r>
        <w:rPr>
          <w:rFonts w:hint="eastAsia" w:cs="Times New Roman"/>
        </w:rPr>
        <w:t>.</w:t>
      </w:r>
      <w:r>
        <w:rPr>
          <w:rFonts w:hint="eastAsia" w:cs="Times New Roman"/>
          <w:lang w:val="en-US" w:eastAsia="zh-CN"/>
        </w:rPr>
        <w:t>2</w:t>
      </w:r>
      <w:r>
        <w:rPr>
          <w:rFonts w:hint="eastAsia" w:cs="Times New Roman"/>
        </w:rPr>
        <w:t>.2-2）；</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napToGrid/>
        <w:spacing w:line="360" w:lineRule="auto"/>
        <w:jc w:val="center"/>
        <w:rPr>
          <w:rFonts w:cs="Times New Roman"/>
          <w:b/>
          <w:szCs w:val="24"/>
        </w:rPr>
      </w:pPr>
      <w:r>
        <w:rPr>
          <w:rFonts w:cs="Times New Roman"/>
          <w:b/>
          <w:szCs w:val="24"/>
        </w:rPr>
        <w:t>表</w:t>
      </w:r>
      <w:r>
        <w:rPr>
          <w:rFonts w:hint="eastAsia" w:cs="Times New Roman"/>
          <w:b/>
          <w:szCs w:val="24"/>
          <w:lang w:val="en-US" w:eastAsia="zh-CN"/>
        </w:rPr>
        <w:t>6</w:t>
      </w:r>
      <w:r>
        <w:rPr>
          <w:rFonts w:cs="Times New Roman"/>
          <w:b/>
          <w:szCs w:val="24"/>
        </w:rPr>
        <w:t>.</w:t>
      </w:r>
      <w:r>
        <w:rPr>
          <w:rFonts w:hint="eastAsia" w:cs="Times New Roman"/>
          <w:b/>
          <w:szCs w:val="24"/>
          <w:lang w:val="en-US" w:eastAsia="zh-CN"/>
        </w:rPr>
        <w:t>6</w:t>
      </w:r>
      <w:r>
        <w:rPr>
          <w:rFonts w:cs="Times New Roman"/>
          <w:b/>
          <w:szCs w:val="24"/>
        </w:rPr>
        <w:t>.</w:t>
      </w:r>
      <w:r>
        <w:rPr>
          <w:rFonts w:hint="eastAsia" w:cs="Times New Roman"/>
          <w:b/>
          <w:szCs w:val="24"/>
        </w:rPr>
        <w:t>2-1  智慧化工地创建申请表</w:t>
      </w:r>
    </w:p>
    <w:tbl>
      <w:tblPr>
        <w:tblStyle w:val="8"/>
        <w:tblW w:w="8599" w:type="dxa"/>
        <w:jc w:val="center"/>
        <w:tblLayout w:type="fixed"/>
        <w:tblCellMar>
          <w:top w:w="0" w:type="dxa"/>
          <w:left w:w="0" w:type="dxa"/>
          <w:bottom w:w="0" w:type="dxa"/>
          <w:right w:w="0" w:type="dxa"/>
        </w:tblCellMar>
      </w:tblPr>
      <w:tblGrid>
        <w:gridCol w:w="1719"/>
        <w:gridCol w:w="430"/>
        <w:gridCol w:w="2149"/>
        <w:gridCol w:w="1846"/>
        <w:gridCol w:w="303"/>
        <w:gridCol w:w="2152"/>
      </w:tblGrid>
      <w:tr>
        <w:tblPrEx>
          <w:tblCellMar>
            <w:top w:w="0" w:type="dxa"/>
            <w:left w:w="0" w:type="dxa"/>
            <w:bottom w:w="0" w:type="dxa"/>
            <w:right w:w="0" w:type="dxa"/>
          </w:tblCellMar>
        </w:tblPrEx>
        <w:trPr>
          <w:trHeight w:val="567" w:hRule="atLeast"/>
          <w:jc w:val="center"/>
        </w:trPr>
        <w:tc>
          <w:tcPr>
            <w:tcW w:w="1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工程名称</w:t>
            </w:r>
          </w:p>
        </w:tc>
        <w:tc>
          <w:tcPr>
            <w:tcW w:w="68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工程地址</w:t>
            </w:r>
          </w:p>
        </w:tc>
        <w:tc>
          <w:tcPr>
            <w:tcW w:w="257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建筑面积（m²）</w:t>
            </w:r>
          </w:p>
        </w:tc>
        <w:tc>
          <w:tcPr>
            <w:tcW w:w="245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工程造价（万元）</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建筑高度（m）</w:t>
            </w:r>
          </w:p>
        </w:tc>
        <w:tc>
          <w:tcPr>
            <w:tcW w:w="2455"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层数</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结构类型</w:t>
            </w:r>
          </w:p>
        </w:tc>
        <w:tc>
          <w:tcPr>
            <w:tcW w:w="2455"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工程性质</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施工许可证</w:t>
            </w:r>
          </w:p>
          <w:p>
            <w:pPr>
              <w:jc w:val="center"/>
              <w:rPr>
                <w:rFonts w:ascii="宋体" w:hAnsi="宋体" w:cs="宋体"/>
                <w:color w:val="000000"/>
                <w:sz w:val="21"/>
              </w:rPr>
            </w:pPr>
            <w:r>
              <w:rPr>
                <w:rFonts w:hint="eastAsia" w:ascii="宋体" w:hAnsi="宋体" w:cs="宋体"/>
                <w:color w:val="000000"/>
                <w:sz w:val="21"/>
              </w:rPr>
              <w:t>编号</w:t>
            </w:r>
          </w:p>
        </w:tc>
        <w:tc>
          <w:tcPr>
            <w:tcW w:w="2455"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计划开竣工日期</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申报等级</w:t>
            </w:r>
          </w:p>
        </w:tc>
        <w:tc>
          <w:tcPr>
            <w:tcW w:w="2455"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项目负责人</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vAlign w:val="center"/>
          </w:tcPr>
          <w:p>
            <w:pPr>
              <w:jc w:val="center"/>
              <w:rPr>
                <w:rFonts w:ascii="宋体" w:hAnsi="宋体" w:cs="宋体"/>
                <w:color w:val="000000"/>
                <w:sz w:val="21"/>
              </w:rPr>
            </w:pPr>
            <w:r>
              <w:rPr>
                <w:rFonts w:hint="eastAsia" w:ascii="宋体" w:hAnsi="宋体" w:cs="宋体"/>
                <w:color w:val="000000"/>
                <w:sz w:val="21"/>
              </w:rPr>
              <w:t>联系方式</w:t>
            </w:r>
          </w:p>
        </w:tc>
        <w:tc>
          <w:tcPr>
            <w:tcW w:w="2455" w:type="dxa"/>
            <w:gridSpan w:val="2"/>
            <w:tcBorders>
              <w:top w:val="nil"/>
              <w:left w:val="nil"/>
              <w:bottom w:val="single" w:color="auto" w:sz="4" w:space="0"/>
              <w:right w:val="single" w:color="auto" w:sz="4" w:space="0"/>
            </w:tcBorders>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通讯地址</w:t>
            </w:r>
          </w:p>
        </w:tc>
        <w:tc>
          <w:tcPr>
            <w:tcW w:w="257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c>
          <w:tcPr>
            <w:tcW w:w="184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电子邮箱</w:t>
            </w:r>
          </w:p>
        </w:tc>
        <w:tc>
          <w:tcPr>
            <w:tcW w:w="245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建设单位名称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设计单位名称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施工单位名称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567" w:hRule="atLeast"/>
          <w:jc w:val="center"/>
        </w:trPr>
        <w:tc>
          <w:tcPr>
            <w:tcW w:w="171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r>
              <w:rPr>
                <w:rFonts w:hint="eastAsia" w:ascii="宋体" w:hAnsi="宋体" w:cs="宋体"/>
                <w:color w:val="000000"/>
                <w:sz w:val="21"/>
              </w:rPr>
              <w:t>监理单位名称</w:t>
            </w:r>
          </w:p>
        </w:tc>
        <w:tc>
          <w:tcPr>
            <w:tcW w:w="6880"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000000"/>
                <w:sz w:val="21"/>
              </w:rPr>
            </w:pPr>
          </w:p>
        </w:tc>
      </w:tr>
      <w:tr>
        <w:tblPrEx>
          <w:tblCellMar>
            <w:top w:w="0" w:type="dxa"/>
            <w:left w:w="0" w:type="dxa"/>
            <w:bottom w:w="0" w:type="dxa"/>
            <w:right w:w="0" w:type="dxa"/>
          </w:tblCellMar>
        </w:tblPrEx>
        <w:trPr>
          <w:trHeight w:val="2255" w:hRule="atLeast"/>
          <w:jc w:val="center"/>
        </w:trPr>
        <w:tc>
          <w:tcPr>
            <w:tcW w:w="2149"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210" w:firstLineChars="100"/>
              <w:rPr>
                <w:rFonts w:ascii="宋体" w:hAnsi="宋体" w:cs="宋体"/>
                <w:color w:val="000000"/>
                <w:sz w:val="21"/>
              </w:rPr>
            </w:pPr>
            <w:r>
              <w:rPr>
                <w:rFonts w:hint="eastAsia" w:ascii="宋体" w:hAnsi="宋体" w:cs="宋体"/>
                <w:color w:val="000000"/>
                <w:sz w:val="21"/>
              </w:rPr>
              <w:t>建设单位：</w:t>
            </w:r>
          </w:p>
          <w:p>
            <w:pPr>
              <w:rPr>
                <w:rFonts w:ascii="宋体" w:hAnsi="宋体" w:cs="宋体"/>
                <w:color w:val="000000"/>
                <w:sz w:val="21"/>
              </w:rPr>
            </w:pPr>
          </w:p>
          <w:p>
            <w:pPr>
              <w:ind w:firstLine="210" w:firstLineChars="100"/>
              <w:rPr>
                <w:rFonts w:ascii="宋体" w:hAnsi="宋体" w:cs="宋体"/>
                <w:color w:val="000000"/>
                <w:sz w:val="21"/>
              </w:rPr>
            </w:pPr>
            <w:r>
              <w:rPr>
                <w:rFonts w:hint="eastAsia" w:ascii="宋体" w:hAnsi="宋体" w:cs="宋体"/>
                <w:color w:val="000000"/>
                <w:sz w:val="21"/>
              </w:rPr>
              <w:t>项目负责人：</w:t>
            </w:r>
          </w:p>
          <w:p>
            <w:pPr>
              <w:rPr>
                <w:rFonts w:ascii="宋体" w:hAnsi="宋体" w:cs="宋体"/>
                <w:color w:val="000000"/>
                <w:sz w:val="21"/>
              </w:rPr>
            </w:pPr>
          </w:p>
          <w:p>
            <w:pPr>
              <w:rPr>
                <w:rFonts w:ascii="宋体" w:hAnsi="宋体" w:cs="宋体"/>
                <w:color w:val="000000"/>
                <w:sz w:val="21"/>
              </w:rPr>
            </w:pPr>
          </w:p>
          <w:p>
            <w:pPr>
              <w:ind w:firstLine="840" w:firstLineChars="400"/>
              <w:rPr>
                <w:rFonts w:ascii="宋体" w:hAnsi="宋体" w:cs="宋体"/>
                <w:color w:val="000000"/>
                <w:sz w:val="21"/>
              </w:rPr>
            </w:pPr>
            <w:r>
              <w:rPr>
                <w:rFonts w:hint="eastAsia" w:ascii="宋体" w:hAnsi="宋体" w:cs="宋体"/>
                <w:color w:val="000000"/>
                <w:sz w:val="21"/>
              </w:rPr>
              <w:t>（公章）</w:t>
            </w:r>
          </w:p>
          <w:p>
            <w:pPr>
              <w:ind w:left="0" w:leftChars="0" w:right="0" w:rightChars="0" w:firstLine="840" w:firstLineChars="400"/>
              <w:rPr>
                <w:rFonts w:ascii="宋体" w:hAnsi="宋体" w:eastAsia="宋体" w:cs="宋体"/>
                <w:color w:val="000000"/>
                <w:sz w:val="21"/>
                <w:szCs w:val="22"/>
                <w:lang w:val="zh-CN" w:eastAsia="zh-CN" w:bidi="zh-CN"/>
              </w:rPr>
            </w:pPr>
            <w:r>
              <w:rPr>
                <w:rFonts w:hint="eastAsia" w:ascii="宋体" w:hAnsi="宋体" w:cs="宋体"/>
                <w:color w:val="000000"/>
                <w:sz w:val="21"/>
              </w:rPr>
              <w:t>年   月   日</w:t>
            </w:r>
          </w:p>
        </w:tc>
        <w:tc>
          <w:tcPr>
            <w:tcW w:w="214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210" w:firstLineChars="100"/>
              <w:rPr>
                <w:rFonts w:ascii="宋体" w:hAnsi="宋体" w:cs="宋体"/>
                <w:color w:val="000000"/>
                <w:sz w:val="21"/>
              </w:rPr>
            </w:pPr>
            <w:r>
              <w:rPr>
                <w:rFonts w:hint="eastAsia" w:ascii="宋体" w:hAnsi="宋体" w:cs="宋体"/>
                <w:color w:val="000000"/>
                <w:sz w:val="21"/>
              </w:rPr>
              <w:t>施工单位：</w:t>
            </w:r>
          </w:p>
          <w:p>
            <w:pPr>
              <w:rPr>
                <w:rFonts w:ascii="宋体" w:hAnsi="宋体" w:cs="宋体"/>
                <w:color w:val="000000"/>
                <w:sz w:val="21"/>
              </w:rPr>
            </w:pPr>
          </w:p>
          <w:p>
            <w:pPr>
              <w:ind w:firstLine="210" w:firstLineChars="100"/>
              <w:rPr>
                <w:rFonts w:ascii="宋体" w:hAnsi="宋体" w:cs="宋体"/>
                <w:color w:val="000000"/>
                <w:sz w:val="21"/>
              </w:rPr>
            </w:pPr>
            <w:r>
              <w:rPr>
                <w:rFonts w:hint="eastAsia" w:ascii="宋体" w:hAnsi="宋体" w:cs="宋体"/>
                <w:color w:val="000000"/>
                <w:sz w:val="21"/>
              </w:rPr>
              <w:t>项目负责人：</w:t>
            </w:r>
          </w:p>
          <w:p>
            <w:pPr>
              <w:rPr>
                <w:rFonts w:ascii="宋体" w:hAnsi="宋体" w:cs="宋体"/>
                <w:color w:val="000000"/>
                <w:sz w:val="21"/>
              </w:rPr>
            </w:pPr>
          </w:p>
          <w:p>
            <w:pPr>
              <w:rPr>
                <w:rFonts w:ascii="宋体" w:hAnsi="宋体" w:cs="宋体"/>
                <w:color w:val="000000"/>
                <w:sz w:val="21"/>
              </w:rPr>
            </w:pPr>
          </w:p>
          <w:p>
            <w:pPr>
              <w:ind w:firstLine="840" w:firstLineChars="400"/>
              <w:rPr>
                <w:rFonts w:ascii="宋体" w:hAnsi="宋体" w:cs="宋体"/>
                <w:color w:val="000000"/>
                <w:sz w:val="21"/>
              </w:rPr>
            </w:pPr>
            <w:r>
              <w:rPr>
                <w:rFonts w:hint="eastAsia" w:ascii="宋体" w:hAnsi="宋体" w:cs="宋体"/>
                <w:color w:val="000000"/>
                <w:sz w:val="21"/>
              </w:rPr>
              <w:t>（公章）</w:t>
            </w:r>
          </w:p>
          <w:p>
            <w:pPr>
              <w:ind w:left="0" w:leftChars="0" w:right="0" w:rightChars="0" w:firstLine="840" w:firstLineChars="400"/>
              <w:rPr>
                <w:rFonts w:ascii="宋体" w:hAnsi="宋体" w:eastAsia="宋体" w:cs="宋体"/>
                <w:color w:val="000000"/>
                <w:sz w:val="21"/>
                <w:szCs w:val="22"/>
                <w:lang w:val="zh-CN" w:eastAsia="zh-CN" w:bidi="zh-CN"/>
              </w:rPr>
            </w:pPr>
            <w:r>
              <w:rPr>
                <w:rFonts w:hint="eastAsia" w:ascii="宋体" w:hAnsi="宋体" w:cs="宋体"/>
                <w:color w:val="000000"/>
                <w:sz w:val="21"/>
              </w:rPr>
              <w:t>年   月   日</w:t>
            </w:r>
          </w:p>
        </w:tc>
        <w:tc>
          <w:tcPr>
            <w:tcW w:w="214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ind w:firstLine="210" w:firstLineChars="100"/>
              <w:rPr>
                <w:rFonts w:ascii="宋体" w:hAnsi="宋体" w:cs="宋体"/>
                <w:color w:val="000000"/>
                <w:sz w:val="21"/>
              </w:rPr>
            </w:pPr>
            <w:r>
              <w:rPr>
                <w:rFonts w:hint="eastAsia" w:ascii="宋体" w:hAnsi="宋体" w:cs="宋体"/>
                <w:color w:val="000000"/>
                <w:sz w:val="21"/>
              </w:rPr>
              <w:t>监理单位：</w:t>
            </w:r>
          </w:p>
          <w:p>
            <w:pPr>
              <w:rPr>
                <w:rFonts w:ascii="宋体" w:hAnsi="宋体" w:cs="宋体"/>
                <w:color w:val="000000"/>
                <w:sz w:val="21"/>
              </w:rPr>
            </w:pPr>
          </w:p>
          <w:p>
            <w:pPr>
              <w:ind w:firstLine="210" w:firstLineChars="100"/>
              <w:rPr>
                <w:rFonts w:ascii="宋体" w:hAnsi="宋体" w:cs="宋体"/>
                <w:color w:val="000000"/>
                <w:sz w:val="21"/>
              </w:rPr>
            </w:pPr>
            <w:r>
              <w:rPr>
                <w:rFonts w:hint="eastAsia" w:ascii="宋体" w:hAnsi="宋体" w:cs="宋体"/>
                <w:color w:val="000000"/>
                <w:sz w:val="21"/>
              </w:rPr>
              <w:t>项目负责人：</w:t>
            </w:r>
          </w:p>
          <w:p>
            <w:pPr>
              <w:rPr>
                <w:rFonts w:ascii="宋体" w:hAnsi="宋体" w:cs="宋体"/>
                <w:color w:val="000000"/>
                <w:sz w:val="21"/>
              </w:rPr>
            </w:pPr>
          </w:p>
          <w:p>
            <w:pPr>
              <w:rPr>
                <w:rFonts w:ascii="宋体" w:hAnsi="宋体" w:cs="宋体"/>
                <w:color w:val="000000"/>
                <w:sz w:val="21"/>
              </w:rPr>
            </w:pPr>
          </w:p>
          <w:p>
            <w:pPr>
              <w:ind w:firstLine="840" w:firstLineChars="400"/>
              <w:rPr>
                <w:rFonts w:ascii="宋体" w:hAnsi="宋体" w:cs="宋体"/>
                <w:color w:val="000000"/>
                <w:sz w:val="21"/>
              </w:rPr>
            </w:pPr>
            <w:r>
              <w:rPr>
                <w:rFonts w:hint="eastAsia" w:ascii="宋体" w:hAnsi="宋体" w:cs="宋体"/>
                <w:color w:val="000000"/>
                <w:sz w:val="21"/>
              </w:rPr>
              <w:t>（公章）</w:t>
            </w:r>
          </w:p>
          <w:p>
            <w:pPr>
              <w:ind w:left="0" w:leftChars="0" w:right="0" w:rightChars="0" w:firstLine="840" w:firstLineChars="400"/>
              <w:rPr>
                <w:rFonts w:ascii="宋体" w:hAnsi="宋体" w:eastAsia="宋体" w:cs="宋体"/>
                <w:color w:val="000000"/>
                <w:sz w:val="21"/>
                <w:szCs w:val="22"/>
                <w:lang w:val="zh-CN" w:eastAsia="zh-CN" w:bidi="zh-CN"/>
              </w:rPr>
            </w:pPr>
            <w:r>
              <w:rPr>
                <w:rFonts w:hint="eastAsia" w:ascii="宋体" w:hAnsi="宋体" w:cs="宋体"/>
                <w:color w:val="000000"/>
                <w:sz w:val="21"/>
              </w:rPr>
              <w:t>年   月   日</w:t>
            </w:r>
          </w:p>
        </w:tc>
        <w:tc>
          <w:tcPr>
            <w:tcW w:w="2152"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210" w:firstLineChars="100"/>
              <w:rPr>
                <w:rFonts w:ascii="宋体" w:hAnsi="宋体" w:cs="宋体"/>
                <w:color w:val="000000"/>
                <w:sz w:val="21"/>
              </w:rPr>
            </w:pPr>
            <w:r>
              <w:rPr>
                <w:rFonts w:hint="eastAsia" w:cs="宋体"/>
                <w:color w:val="000000"/>
                <w:sz w:val="21"/>
                <w:lang w:eastAsia="zh-CN"/>
              </w:rPr>
              <w:t>其他</w:t>
            </w:r>
            <w:r>
              <w:rPr>
                <w:rFonts w:hint="eastAsia" w:ascii="宋体" w:hAnsi="宋体" w:cs="宋体"/>
                <w:color w:val="000000"/>
                <w:sz w:val="21"/>
              </w:rPr>
              <w:t>单位：</w:t>
            </w:r>
          </w:p>
          <w:p>
            <w:pPr>
              <w:rPr>
                <w:rFonts w:ascii="宋体" w:hAnsi="宋体" w:cs="宋体"/>
                <w:color w:val="000000"/>
                <w:sz w:val="21"/>
              </w:rPr>
            </w:pPr>
          </w:p>
          <w:p>
            <w:pPr>
              <w:ind w:firstLine="210" w:firstLineChars="100"/>
              <w:rPr>
                <w:rFonts w:ascii="宋体" w:hAnsi="宋体" w:cs="宋体"/>
                <w:color w:val="000000"/>
                <w:sz w:val="21"/>
              </w:rPr>
            </w:pPr>
            <w:r>
              <w:rPr>
                <w:rFonts w:hint="eastAsia" w:ascii="宋体" w:hAnsi="宋体" w:cs="宋体"/>
                <w:color w:val="000000"/>
                <w:sz w:val="21"/>
              </w:rPr>
              <w:t>项目负责人：</w:t>
            </w:r>
          </w:p>
          <w:p>
            <w:pPr>
              <w:rPr>
                <w:rFonts w:ascii="宋体" w:hAnsi="宋体" w:cs="宋体"/>
                <w:color w:val="000000"/>
                <w:sz w:val="21"/>
              </w:rPr>
            </w:pPr>
          </w:p>
          <w:p>
            <w:pPr>
              <w:rPr>
                <w:rFonts w:ascii="宋体" w:hAnsi="宋体" w:cs="宋体"/>
                <w:color w:val="000000"/>
                <w:sz w:val="21"/>
              </w:rPr>
            </w:pPr>
          </w:p>
          <w:p>
            <w:pPr>
              <w:ind w:firstLine="840" w:firstLineChars="400"/>
              <w:rPr>
                <w:rFonts w:ascii="宋体" w:hAnsi="宋体" w:cs="宋体"/>
                <w:color w:val="000000"/>
                <w:sz w:val="21"/>
              </w:rPr>
            </w:pPr>
            <w:r>
              <w:rPr>
                <w:rFonts w:hint="eastAsia" w:ascii="宋体" w:hAnsi="宋体" w:cs="宋体"/>
                <w:color w:val="000000"/>
                <w:sz w:val="21"/>
              </w:rPr>
              <w:t>（公章）</w:t>
            </w:r>
          </w:p>
          <w:p>
            <w:pPr>
              <w:ind w:firstLine="840" w:firstLineChars="400"/>
              <w:rPr>
                <w:rFonts w:ascii="宋体" w:hAnsi="宋体" w:cs="宋体"/>
                <w:color w:val="000000"/>
                <w:sz w:val="21"/>
              </w:rPr>
            </w:pPr>
            <w:r>
              <w:rPr>
                <w:rFonts w:hint="eastAsia" w:ascii="宋体" w:hAnsi="宋体" w:cs="宋体"/>
                <w:color w:val="000000"/>
                <w:sz w:val="21"/>
              </w:rPr>
              <w:t>年   月   日</w:t>
            </w:r>
          </w:p>
        </w:tc>
      </w:tr>
    </w:tbl>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rPr>
          <w:b/>
          <w:bCs/>
        </w:rPr>
      </w:pPr>
    </w:p>
    <w:p>
      <w:pPr>
        <w:pStyle w:val="2"/>
        <w:rPr>
          <w:b/>
          <w:bCs/>
        </w:rPr>
      </w:pPr>
    </w:p>
    <w:p>
      <w:pPr>
        <w:pStyle w:val="2"/>
        <w:rPr>
          <w:b/>
          <w:bCs/>
        </w:rPr>
      </w:pPr>
    </w:p>
    <w:p>
      <w:pPr>
        <w:pStyle w:val="2"/>
        <w:rPr>
          <w:b/>
          <w:bCs/>
        </w:rPr>
      </w:pPr>
    </w:p>
    <w:p>
      <w:pPr>
        <w:pStyle w:val="2"/>
        <w:rPr>
          <w:b/>
          <w:bCs/>
        </w:rPr>
      </w:pPr>
    </w:p>
    <w:p>
      <w:pPr>
        <w:pStyle w:val="2"/>
        <w:rPr>
          <w:b/>
          <w:bCs/>
        </w:rPr>
      </w:pPr>
    </w:p>
    <w:p>
      <w:pPr>
        <w:pStyle w:val="2"/>
        <w:rPr>
          <w:b/>
          <w:bCs/>
        </w:rPr>
      </w:pPr>
    </w:p>
    <w:p>
      <w:pPr>
        <w:snapToGrid/>
        <w:spacing w:line="360" w:lineRule="auto"/>
        <w:jc w:val="center"/>
        <w:rPr>
          <w:rFonts w:cs="Times New Roman"/>
          <w:b/>
          <w:szCs w:val="24"/>
        </w:rPr>
      </w:pPr>
      <w:r>
        <w:rPr>
          <w:rFonts w:cs="Times New Roman"/>
          <w:b/>
          <w:szCs w:val="24"/>
        </w:rPr>
        <w:t>表</w:t>
      </w:r>
      <w:r>
        <w:rPr>
          <w:rFonts w:hint="eastAsia" w:cs="Times New Roman"/>
          <w:b/>
          <w:szCs w:val="24"/>
          <w:lang w:val="en-US" w:eastAsia="zh-CN"/>
        </w:rPr>
        <w:t>6</w:t>
      </w:r>
      <w:r>
        <w:rPr>
          <w:rFonts w:cs="Times New Roman"/>
          <w:b/>
          <w:szCs w:val="24"/>
        </w:rPr>
        <w:t>.</w:t>
      </w:r>
      <w:r>
        <w:rPr>
          <w:rFonts w:hint="eastAsia" w:cs="Times New Roman"/>
          <w:b/>
          <w:szCs w:val="24"/>
          <w:lang w:val="en-US" w:eastAsia="zh-CN"/>
        </w:rPr>
        <w:t>2</w:t>
      </w:r>
      <w:r>
        <w:rPr>
          <w:rFonts w:cs="Times New Roman"/>
          <w:b/>
          <w:szCs w:val="24"/>
        </w:rPr>
        <w:t>.</w:t>
      </w:r>
      <w:r>
        <w:rPr>
          <w:rFonts w:hint="eastAsia" w:cs="Times New Roman"/>
          <w:b/>
          <w:szCs w:val="24"/>
        </w:rPr>
        <w:t>2-2  智慧化工地</w:t>
      </w:r>
      <w:r>
        <w:rPr>
          <w:rFonts w:cs="Times New Roman"/>
          <w:b/>
          <w:szCs w:val="24"/>
        </w:rPr>
        <w:t>评价表</w:t>
      </w:r>
    </w:p>
    <w:tbl>
      <w:tblPr>
        <w:tblStyle w:val="8"/>
        <w:tblW w:w="8738" w:type="dxa"/>
        <w:jc w:val="center"/>
        <w:tblLayout w:type="fixed"/>
        <w:tblCellMar>
          <w:top w:w="0" w:type="dxa"/>
          <w:left w:w="108" w:type="dxa"/>
          <w:bottom w:w="0" w:type="dxa"/>
          <w:right w:w="108" w:type="dxa"/>
        </w:tblCellMar>
      </w:tblPr>
      <w:tblGrid>
        <w:gridCol w:w="497"/>
        <w:gridCol w:w="780"/>
        <w:gridCol w:w="1211"/>
        <w:gridCol w:w="971"/>
        <w:gridCol w:w="797"/>
        <w:gridCol w:w="360"/>
        <w:gridCol w:w="1412"/>
        <w:gridCol w:w="1828"/>
        <w:gridCol w:w="882"/>
      </w:tblGrid>
      <w:tr>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工程名称</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Times New Roman"/>
                <w:color w:val="000000"/>
                <w:sz w:val="21"/>
              </w:rPr>
            </w:pPr>
            <w:r>
              <w:rPr>
                <w:rFonts w:cs="Times New Roman"/>
                <w:color w:val="000000"/>
                <w:kern w:val="0"/>
                <w:sz w:val="21"/>
              </w:rPr>
              <w:t>工程</w:t>
            </w:r>
            <w:r>
              <w:rPr>
                <w:rFonts w:hint="eastAsia" w:cs="Times New Roman"/>
                <w:color w:val="000000"/>
                <w:kern w:val="0"/>
                <w:sz w:val="21"/>
              </w:rPr>
              <w:t>地址</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Times New Roman"/>
                <w:color w:val="000000"/>
                <w:sz w:val="21"/>
              </w:rPr>
            </w:pPr>
            <w:r>
              <w:rPr>
                <w:rFonts w:cs="Times New Roman"/>
                <w:color w:val="000000"/>
                <w:kern w:val="0"/>
                <w:sz w:val="21"/>
              </w:rPr>
              <w:t>施工单位</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监督编号</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r>
      <w:tr>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Times New Roman"/>
                <w:color w:val="000000"/>
                <w:sz w:val="21"/>
              </w:rPr>
            </w:pPr>
            <w:r>
              <w:rPr>
                <w:rFonts w:cs="Times New Roman"/>
                <w:color w:val="000000"/>
                <w:kern w:val="0"/>
                <w:sz w:val="21"/>
              </w:rPr>
              <w:t>施工阶段</w:t>
            </w:r>
          </w:p>
        </w:tc>
        <w:tc>
          <w:tcPr>
            <w:tcW w:w="2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Times New Roman"/>
                <w:color w:val="000000"/>
                <w:sz w:val="21"/>
              </w:rPr>
            </w:pPr>
            <w:r>
              <w:rPr>
                <w:rFonts w:cs="Times New Roman"/>
                <w:color w:val="000000"/>
                <w:kern w:val="0"/>
                <w:sz w:val="21"/>
              </w:rPr>
              <w:t>检查日期</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567"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评价阶段</w:t>
            </w:r>
          </w:p>
        </w:tc>
        <w:tc>
          <w:tcPr>
            <w:tcW w:w="74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1"/>
                <w:lang w:val="en-US" w:eastAsia="zh-CN"/>
              </w:rPr>
            </w:pPr>
            <w:r>
              <w:rPr>
                <w:rFonts w:hint="eastAsia" w:cs="宋体"/>
                <w:color w:val="000000"/>
                <w:sz w:val="21"/>
                <w:lang w:eastAsia="zh-CN"/>
              </w:rPr>
              <w:t>第一次评价</w:t>
            </w:r>
            <w:r>
              <w:rPr>
                <w:rFonts w:hint="eastAsia" w:cs="宋体"/>
                <w:color w:val="000000"/>
                <w:sz w:val="21"/>
                <w:lang w:val="en-US" w:eastAsia="zh-CN"/>
              </w:rPr>
              <w:sym w:font="Wingdings 2" w:char="00A3"/>
            </w:r>
            <w:r>
              <w:rPr>
                <w:rFonts w:hint="eastAsia" w:cs="宋体"/>
                <w:color w:val="000000"/>
                <w:sz w:val="21"/>
                <w:lang w:val="en-US" w:eastAsia="zh-CN"/>
              </w:rPr>
              <w:t xml:space="preserve">   </w:t>
            </w:r>
            <w:r>
              <w:rPr>
                <w:rFonts w:hint="eastAsia" w:cs="宋体"/>
                <w:color w:val="000000"/>
                <w:sz w:val="21"/>
                <w:lang w:eastAsia="zh-CN"/>
              </w:rPr>
              <w:t>第二次评价</w:t>
            </w:r>
            <w:r>
              <w:rPr>
                <w:rFonts w:hint="eastAsia" w:cs="宋体"/>
                <w:color w:val="000000"/>
                <w:sz w:val="21"/>
                <w:lang w:val="en-US" w:eastAsia="zh-CN"/>
              </w:rPr>
              <w:sym w:font="Wingdings 2" w:char="00A3"/>
            </w:r>
            <w:r>
              <w:rPr>
                <w:rFonts w:hint="eastAsia" w:cs="宋体"/>
                <w:color w:val="000000"/>
                <w:sz w:val="21"/>
                <w:lang w:val="en-US" w:eastAsia="zh-CN"/>
              </w:rPr>
              <w:t xml:space="preserve">   等级评定</w:t>
            </w:r>
            <w:r>
              <w:rPr>
                <w:rFonts w:hint="eastAsia" w:cs="宋体"/>
                <w:color w:val="000000"/>
                <w:sz w:val="21"/>
                <w:lang w:val="en-US" w:eastAsia="zh-CN"/>
              </w:rPr>
              <w:sym w:font="Wingdings 2" w:char="00A3"/>
            </w:r>
          </w:p>
        </w:tc>
      </w:tr>
      <w:tr>
        <w:tblPrEx>
          <w:tblCellMar>
            <w:top w:w="0" w:type="dxa"/>
            <w:left w:w="108" w:type="dxa"/>
            <w:bottom w:w="0" w:type="dxa"/>
            <w:right w:w="108" w:type="dxa"/>
          </w:tblCellMar>
        </w:tblPrEx>
        <w:trPr>
          <w:trHeight w:val="592"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应用类别</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应用项</w:t>
            </w:r>
          </w:p>
        </w:tc>
        <w:tc>
          <w:tcPr>
            <w:tcW w:w="2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应用级别</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应用项内容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评价得分</w:t>
            </w: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管理平台</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施工安全管理类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施工质量管理类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绿色文明施工类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施工综合管理类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人员管理类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BIM 技术应用</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建筑工业化类</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基础项</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1"/>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color w:val="000000"/>
                <w:sz w:val="21"/>
              </w:rPr>
            </w:pPr>
          </w:p>
        </w:tc>
      </w:tr>
      <w:tr>
        <w:tblPrEx>
          <w:tblCellMar>
            <w:top w:w="0" w:type="dxa"/>
            <w:left w:w="108" w:type="dxa"/>
            <w:bottom w:w="0" w:type="dxa"/>
            <w:right w:w="108" w:type="dxa"/>
          </w:tblCellMar>
        </w:tblPrEx>
        <w:trPr>
          <w:trHeight w:val="370" w:hRule="atLeast"/>
          <w:jc w:val="center"/>
        </w:trPr>
        <w:tc>
          <w:tcPr>
            <w:tcW w:w="24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1"/>
              </w:rPr>
            </w:pPr>
            <w:r>
              <w:rPr>
                <w:rFonts w:hint="eastAsia" w:ascii="宋体" w:hAnsi="宋体" w:cs="宋体"/>
                <w:color w:val="000000"/>
                <w:kern w:val="0"/>
                <w:sz w:val="21"/>
              </w:rPr>
              <w:t>合计</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1"/>
              </w:rPr>
            </w:pPr>
            <w:r>
              <w:rPr>
                <w:rFonts w:hint="eastAsia" w:ascii="宋体" w:hAnsi="宋体" w:cs="宋体"/>
                <w:color w:val="000000"/>
                <w:kern w:val="0"/>
                <w:sz w:val="21"/>
              </w:rPr>
              <w:t>主控项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r>
      <w:tr>
        <w:tblPrEx>
          <w:tblCellMar>
            <w:top w:w="0" w:type="dxa"/>
            <w:left w:w="108" w:type="dxa"/>
            <w:bottom w:w="0" w:type="dxa"/>
            <w:right w:w="108" w:type="dxa"/>
          </w:tblCellMar>
        </w:tblPrEx>
        <w:trPr>
          <w:trHeight w:val="370" w:hRule="atLeast"/>
          <w:jc w:val="center"/>
        </w:trPr>
        <w:tc>
          <w:tcPr>
            <w:tcW w:w="24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1"/>
              </w:rPr>
            </w:pPr>
            <w:r>
              <w:rPr>
                <w:rFonts w:hint="eastAsia" w:ascii="宋体" w:hAnsi="宋体" w:cs="宋体"/>
                <w:color w:val="000000"/>
                <w:kern w:val="0"/>
                <w:sz w:val="21"/>
              </w:rPr>
              <w:t>一般项</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r>
      <w:tr>
        <w:tblPrEx>
          <w:tblCellMar>
            <w:top w:w="0" w:type="dxa"/>
            <w:left w:w="108" w:type="dxa"/>
            <w:bottom w:w="0" w:type="dxa"/>
            <w:right w:w="108" w:type="dxa"/>
          </w:tblCellMar>
        </w:tblPrEx>
        <w:trPr>
          <w:trHeight w:val="1155" w:hRule="atLeast"/>
          <w:jc w:val="center"/>
        </w:trPr>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1"/>
              </w:rPr>
            </w:pPr>
            <w:r>
              <w:rPr>
                <w:rFonts w:hint="eastAsia" w:ascii="宋体" w:hAnsi="宋体" w:cs="宋体"/>
                <w:color w:val="000000"/>
                <w:kern w:val="0"/>
                <w:sz w:val="21"/>
              </w:rPr>
              <w:t>评价结论</w:t>
            </w:r>
          </w:p>
        </w:tc>
        <w:tc>
          <w:tcPr>
            <w:tcW w:w="74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r>
      <w:tr>
        <w:tblPrEx>
          <w:tblCellMar>
            <w:top w:w="0" w:type="dxa"/>
            <w:left w:w="108" w:type="dxa"/>
            <w:bottom w:w="0" w:type="dxa"/>
            <w:right w:w="108" w:type="dxa"/>
          </w:tblCellMar>
        </w:tblPrEx>
        <w:trPr>
          <w:trHeight w:val="370"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 w:val="21"/>
              </w:rPr>
            </w:pPr>
            <w:r>
              <w:rPr>
                <w:rFonts w:hint="eastAsia" w:ascii="宋体" w:hAnsi="宋体" w:cs="宋体"/>
                <w:color w:val="000000"/>
                <w:kern w:val="0"/>
                <w:sz w:val="21"/>
              </w:rPr>
              <w:t>签字栏</w:t>
            </w: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color w:val="000000"/>
                <w:sz w:val="21"/>
                <w:lang w:eastAsia="zh-CN"/>
              </w:rPr>
            </w:pPr>
            <w:r>
              <w:rPr>
                <w:rFonts w:hint="eastAsia" w:ascii="宋体" w:hAnsi="宋体" w:cs="宋体"/>
                <w:color w:val="000000"/>
                <w:kern w:val="0"/>
                <w:sz w:val="21"/>
              </w:rPr>
              <w:t>专家组</w:t>
            </w:r>
            <w:r>
              <w:rPr>
                <w:rFonts w:hint="eastAsia" w:cs="宋体"/>
                <w:color w:val="000000"/>
                <w:kern w:val="0"/>
                <w:sz w:val="21"/>
                <w:lang w:eastAsia="zh-CN"/>
              </w:rPr>
              <w:t>组长</w:t>
            </w: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r>
              <w:rPr>
                <w:rFonts w:hint="eastAsia" w:cs="宋体"/>
                <w:color w:val="000000"/>
                <w:kern w:val="0"/>
                <w:sz w:val="21"/>
                <w:lang w:eastAsia="zh-CN"/>
              </w:rPr>
              <w:t>组员</w:t>
            </w:r>
          </w:p>
        </w:tc>
      </w:tr>
      <w:tr>
        <w:tblPrEx>
          <w:tblCellMar>
            <w:top w:w="0" w:type="dxa"/>
            <w:left w:w="108" w:type="dxa"/>
            <w:bottom w:w="0" w:type="dxa"/>
            <w:right w:w="108" w:type="dxa"/>
          </w:tblCellMar>
        </w:tblPrEx>
        <w:trPr>
          <w:trHeight w:val="121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19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c>
          <w:tcPr>
            <w:tcW w:w="62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1"/>
              </w:rPr>
            </w:pPr>
          </w:p>
        </w:tc>
      </w:tr>
    </w:tbl>
    <w:p>
      <w:pPr>
        <w:pStyle w:val="2"/>
        <w:rPr>
          <w:b/>
          <w:bCs/>
        </w:rPr>
      </w:pPr>
    </w:p>
    <w:p>
      <w:pPr>
        <w:pStyle w:val="2"/>
        <w:rPr>
          <w:b/>
          <w:bCs/>
        </w:rPr>
        <w:sectPr>
          <w:footerReference r:id="rId8" w:type="first"/>
          <w:headerReference r:id="rId6" w:type="default"/>
          <w:footerReference r:id="rId7" w:type="default"/>
          <w:pgSz w:w="11906" w:h="16838"/>
          <w:pgMar w:top="1418" w:right="1418" w:bottom="1418" w:left="1701" w:header="851" w:footer="992" w:gutter="0"/>
          <w:pgNumType w:start="1"/>
          <w:cols w:space="425" w:num="1"/>
          <w:titlePg/>
          <w:docGrid w:type="lines" w:linePitch="333" w:charSpace="0"/>
        </w:sectPr>
      </w:pPr>
    </w:p>
    <w:p>
      <w:pPr>
        <w:snapToGrid/>
        <w:spacing w:line="360" w:lineRule="auto"/>
        <w:outlineLvl w:val="1"/>
        <w:rPr>
          <w:b/>
          <w:bCs/>
        </w:rPr>
      </w:pPr>
      <w:bookmarkStart w:id="18" w:name="_Toc7710"/>
      <w:r>
        <w:rPr>
          <w:rFonts w:hint="eastAsia"/>
          <w:b/>
          <w:bCs/>
          <w:lang w:val="en-US" w:eastAsia="zh-CN"/>
        </w:rPr>
        <w:t>6</w:t>
      </w:r>
      <w:r>
        <w:rPr>
          <w:rFonts w:hint="eastAsia"/>
          <w:b/>
          <w:bCs/>
        </w:rPr>
        <w:t>.</w:t>
      </w:r>
      <w:r>
        <w:rPr>
          <w:rFonts w:hint="eastAsia"/>
          <w:b/>
          <w:bCs/>
          <w:lang w:val="en-US" w:eastAsia="zh-CN"/>
        </w:rPr>
        <w:t>3</w:t>
      </w:r>
      <w:r>
        <w:rPr>
          <w:rFonts w:hint="eastAsia"/>
          <w:b/>
          <w:bCs/>
        </w:rPr>
        <w:t>评价内容</w:t>
      </w:r>
      <w:bookmarkEnd w:id="18"/>
    </w:p>
    <w:p>
      <w:pPr>
        <w:snapToGrid/>
        <w:spacing w:line="360" w:lineRule="auto"/>
        <w:jc w:val="center"/>
        <w:rPr>
          <w:rFonts w:cs="Times New Roman"/>
          <w:b/>
          <w:szCs w:val="24"/>
        </w:rPr>
      </w:pPr>
      <w:r>
        <w:rPr>
          <w:rFonts w:cs="Times New Roman"/>
          <w:b/>
          <w:szCs w:val="24"/>
        </w:rPr>
        <w:t>表</w:t>
      </w:r>
      <w:r>
        <w:rPr>
          <w:rFonts w:hint="eastAsia" w:cs="Times New Roman"/>
          <w:b/>
          <w:szCs w:val="24"/>
          <w:lang w:val="en-US" w:eastAsia="zh-CN"/>
        </w:rPr>
        <w:t>6</w:t>
      </w:r>
      <w:r>
        <w:rPr>
          <w:rFonts w:cs="Times New Roman"/>
          <w:b/>
          <w:szCs w:val="24"/>
        </w:rPr>
        <w:t>.</w:t>
      </w:r>
      <w:r>
        <w:rPr>
          <w:rFonts w:hint="eastAsia" w:cs="Times New Roman"/>
          <w:b/>
          <w:szCs w:val="24"/>
          <w:lang w:val="en-US" w:eastAsia="zh-CN"/>
        </w:rPr>
        <w:t>3</w:t>
      </w:r>
      <w:r>
        <w:rPr>
          <w:rFonts w:hint="eastAsia" w:cs="Times New Roman"/>
          <w:b/>
          <w:szCs w:val="24"/>
        </w:rPr>
        <w:t>-1  智慧化工地应用项</w:t>
      </w:r>
      <w:r>
        <w:rPr>
          <w:rFonts w:cs="Times New Roman"/>
          <w:b/>
          <w:szCs w:val="24"/>
        </w:rPr>
        <w:t>评价表</w:t>
      </w:r>
    </w:p>
    <w:tbl>
      <w:tblPr>
        <w:tblStyle w:val="8"/>
        <w:tblW w:w="14017" w:type="dxa"/>
        <w:tblInd w:w="96" w:type="dxa"/>
        <w:tblLayout w:type="autofit"/>
        <w:tblCellMar>
          <w:top w:w="0" w:type="dxa"/>
          <w:left w:w="108" w:type="dxa"/>
          <w:bottom w:w="0" w:type="dxa"/>
          <w:right w:w="108" w:type="dxa"/>
        </w:tblCellMar>
      </w:tblPr>
      <w:tblGrid>
        <w:gridCol w:w="640"/>
        <w:gridCol w:w="747"/>
        <w:gridCol w:w="992"/>
        <w:gridCol w:w="1015"/>
        <w:gridCol w:w="1025"/>
        <w:gridCol w:w="7438"/>
        <w:gridCol w:w="700"/>
        <w:gridCol w:w="701"/>
        <w:gridCol w:w="759"/>
      </w:tblGrid>
      <w:tr>
        <w:tblPrEx>
          <w:tblCellMar>
            <w:top w:w="0" w:type="dxa"/>
            <w:left w:w="108" w:type="dxa"/>
            <w:bottom w:w="0" w:type="dxa"/>
            <w:right w:w="108" w:type="dxa"/>
          </w:tblCellMar>
        </w:tblPrEx>
        <w:trPr>
          <w:cantSplit/>
          <w:trHeight w:val="417" w:hRule="atLeast"/>
          <w:tblHead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序号</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类别</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kern w:val="0"/>
                <w:szCs w:val="24"/>
              </w:rPr>
            </w:pPr>
            <w:r>
              <w:rPr>
                <w:rFonts w:hint="eastAsia" w:ascii="微软雅黑" w:hAnsi="微软雅黑" w:eastAsia="微软雅黑" w:cs="微软雅黑"/>
                <w:b/>
                <w:bCs/>
                <w:color w:val="000000"/>
                <w:kern w:val="0"/>
                <w:szCs w:val="24"/>
              </w:rPr>
              <w:t>配置</w:t>
            </w:r>
          </w:p>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应用</w:t>
            </w:r>
          </w:p>
        </w:tc>
        <w:tc>
          <w:tcPr>
            <w:tcW w:w="2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应用级别</w:t>
            </w:r>
          </w:p>
        </w:tc>
        <w:tc>
          <w:tcPr>
            <w:tcW w:w="7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评分标准</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工地分级建设标准</w:t>
            </w:r>
          </w:p>
        </w:tc>
      </w:tr>
      <w:tr>
        <w:tblPrEx>
          <w:tblCellMar>
            <w:top w:w="0" w:type="dxa"/>
            <w:left w:w="108" w:type="dxa"/>
            <w:bottom w:w="0" w:type="dxa"/>
            <w:right w:w="108" w:type="dxa"/>
          </w:tblCellMar>
        </w:tblPrEx>
        <w:trPr>
          <w:cantSplit/>
          <w:trHeight w:val="825" w:hRule="atLeast"/>
          <w:tblHead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Cs w:val="24"/>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Cs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Cs w:val="24"/>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Cs w:val="24"/>
              </w:rPr>
            </w:pPr>
          </w:p>
        </w:tc>
        <w:tc>
          <w:tcPr>
            <w:tcW w:w="7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000000"/>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A 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AA 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b/>
                <w:bCs/>
                <w:color w:val="000000"/>
                <w:szCs w:val="24"/>
              </w:rPr>
            </w:pPr>
            <w:r>
              <w:rPr>
                <w:rFonts w:hint="eastAsia" w:ascii="微软雅黑" w:hAnsi="微软雅黑" w:eastAsia="微软雅黑" w:cs="微软雅黑"/>
                <w:b/>
                <w:bCs/>
                <w:color w:val="000000"/>
                <w:kern w:val="0"/>
                <w:szCs w:val="24"/>
              </w:rPr>
              <w:t>AAA 级</w:t>
            </w: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管理平台</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智慧化工地管理平台</w:t>
            </w:r>
          </w:p>
        </w:tc>
        <w:tc>
          <w:tcPr>
            <w:tcW w:w="1015"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1、智慧化工地平台的组成可包括：项目信息管理、人员管理、物资管理、施工机械设备管理、进度管理、质量管理、安全管理、环境监测与治理、能源管理、视频管理、BIM 应用管理等功能，系统性能保证良好运转</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 工地现场网络接入带宽应满足相关通信设备、应用终端网络带宽要求</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3、通信网络应覆盖工地主要区域，包括施工现场办公区域、生活区域、施工区域等</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4、施工现场的相关信息处理、存储、传输设备应有防止干扰的措施，并与强电分离</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5、具有数据存储、调取、上传功能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1、平台宜具备企业各层级协同管理、资源共享能力</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2、平台宜实现信息化大数据可视化管控的能力</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74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施工安全管理类</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施工安全管理模块</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1、应具备对特种作业人员及安全三类人员基本信息、证书、证明文件、培训情况等，进行管理、维护、查询、分析预警等功能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2、应具备安全专项方案、专项方案交底信息的管理、维护和查询、审批功能，审批信息实现各方共享</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3、应具备安全风险管理、维护、查询、分析、预警功能，满足风险管控流程，涉及重大风险源信息应按要求上传平台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4、应具有安全问题隐患排查、日常巡检、月检、专项检查等功能，包含查问题检查、整改、消项的信息化上报，自动整理形成检查台账。照片、视频自动存储归档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5、可使用移动终端下发隐患整改通知单，具备审核、复查、离线模式处理数据的功能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6、安全教育电子化，管理制度应齐全，培训种类、内容、培训信息记录齐全有效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1、安全专项方案的审批宜实现电子签章或签名</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2、安全风险管控宜具有远程实时查看整改完成情况并督促整改，具备移动设备离线模式处理数据的功能；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901"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3、宜具备安全资料的管理、维护和查询功能，对各项安全资料进行电子化上传、资料在线共享、施工规范在线查询、安全日志在线编写等功能，可通过移动端远程实时查询</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4、宜具备安全应急管理的管理、维护和查询功能，可具有应急预案管理、应急人员管理、应急物资管理、应急事件处置信息管理、应急预警信息推送等功能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视频监控</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1、视频监控应包含实时显示查看、视频控制、录像回放、视频摘要、视频轮巡、设备管理、权限管理等功能。若监控前端配备红外设备，枪机设备红外距离不得小于 50m，球机设备红外距离不得小于 100m。视频监控数据本地存储不少于30天</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2、建筑面积在 50000 ㎡及以下的标段工程，监控点位数量不应少于 3 个，50000-100000 ㎡的不少于 5 个，100000 ㎡及以上的不少于 8 个</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3、监控设备应设置防水、防抖、防攀爬和防腐措施，安排专人定期对视频监控设备运行状态进行检查、维护</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1、视频监控点宜设置在工地出入口、围墙、施工区、办公区、生活区、材料堆放区、垃圾堆放区、塔吊顶部以及其他施工现场制高点等区域，布局应合理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2、宜与AI等技术配合实现自动识别违规或异常行为，并将识别出的违规或异常行为即时上传行业平台，宜实现图像测距功能。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AI 视频危险源识别</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1、应与视频监控技术配合实现危险源识别，实现对现场人员未戴安全帽、未穿反光背心、现场明烟明火、现场人员抽烟等违规场景的智能识别、报警功能，同时自动抓拍留存影像资料，辅助现场管理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 AI应具备自动分析处理功能，并即时将违规类型、时间、违规位置及相关影像资料上传项目，同时支持全天候不间断工作</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1、宜支持与智能广播联动，对疑似违规信息及时预警，并通知现场管理人员及时采取管理措施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2、宜支持对一路视频进行多种算法分析</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3、视频监控宜对人员行为、设备车辆等信息数据进行统计分析，数据要求全面、完整，满足管理需要</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基坑监测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1、建设单位、监理单位或施工单位应将第三方专业监测机构监测结果录入项目工作平台</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2、监测数据应包括监测类型、被监测部位、监测日期、监测批次、监测单位、监测人、监测结论等数据，每个监测点应有监测点编号、动作类型、监测值等数据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3、项目平台应自动生成数据汇总表、位移时间变形量曲线图，并根据监测数据进行分析，提供监测结论，并进行复核</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4、具备对异常数据进行预警，同时推送相应预警信息到平台端、APP 端，辅助管理。报警信息经落实、复核处理后，及时录入项目平台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推广项（AAA 必选项）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具有混凝土支撑应力监测、锚索轴力、深层水平位移、基坑周边沉降及水平位移、基坑周边沉降、周边建筑倾斜监测、周边建筑物裂缝位移监测、地下水位监测、钢支撑轴力监测、结构应力应变监测中不少于两项内容的实时监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2、深基坑监测应实现监测数据的自动采集和实时传输，并于平台进行联通，支持管理决策，保证数据的真实性、完整性和实时性</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3、系统应具备对原始监测数据的实时处理，形成各类变化曲线、图形、图表，能够对异常数据进行预警并联动现场声光报警，同时推送相应预警信息到平台端、APP 端。报警信息应经落实、复核处理后，及时录入项目平台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4、结合基坑监测方案，设置实时监测项目，监测周期应覆盖整个深基坑使用周期，并稳定上传数据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具有混凝土支撑应力监测、锚索轴力、深层水平位移、基坑周边沉降及水平位移、基坑周边沉降、周边建筑倾斜监测、周边建筑物裂缝位移监测、地下水位监测、钢支撑轴力监测、结构应力应变监测中不少于5项内容的实时监测。</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塔机监测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1、现场所有塔机均应安装塔机安全监测设备，安全监测设备应具有开机自检功能。塔机安全监测设备安装不得损伤塔机受力结构、不得改变原有安全装置及电气控制系统的功能和性能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2、应具有对塔机设备、人员、运行状态、工作循环数据、维修保养等信息进行管理功能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3、应用人脸识别技术识别，对塔机操作人员进行有效管理，确保人员持证上岗</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4、应具有控制吊钩避让固定障碍物单机区域限制功能，应满足现场实际需求</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5、应对存在碰撞风险的多个塔机采用防碰撞技术，并显示防碰撞实时状态</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6、通过传感器等设备实时监测塔机运行状态，自动分析运行数据，记录预警、报警、违规信息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7、项目平台应可对每个塔机进行查询表现，内容包括基本信息、安装位置、授权操作人员、当前运行状态、预警报警信息历史数据、运行数据分析等，平台可远程调取查看，保存项目历史产生数据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1、宜按时间段对人员、运行状态、使用时间、频次、利用率、报警、维修保养等信息进行统计分析</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2、塔机数据可采用本地和云端存储，存储时间、安全监测相关设备应符合现行标准要求</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8</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吊钩盲区可视化</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1、现场所有塔机均应实现吊钩盲区可视化</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2、可视化监控摄像机不低于20倍变焦、200W像素、1920*1080P分辨率，高清显示屏安装于塔机驾驶室，应便于塔机司机观看，且不应影响司机视野及正常操作</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3、吊钩盲区可视化视频应支持驾驶室本地、项目平台、移动端等浏览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1、吊钩盲区可视化宜与视频监控相结合，包含实时显示、视频控制、录像回放、设备管理、权限管理等功能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9</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施工升降电梯监测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1、现场所有施工升降电梯均应安装安全监测设备，对施工升降电梯、人员、运行状态、维修保养等信息进行管理功能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2、对施工电梯实时运行数据应可以远程查看，保存项目历史生产数据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3、应用人脸识别等技术识别，对施工升降电梯操作人员进行有效管理，并保留相应数据信息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4、对非授权人员操作或企图、强制操作电梯行为及电梯运行出现违规行为进行预警及报警，报警时应同步对轿厢内人员、物资情况进行拍照留痕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1、宜按时间段对人员、运行状态、使用时间、频次、利用率、报警、维修保养等及工效信息进行统计分析</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螺栓松动监测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推广项（AAA 必选项）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1、在全部塔机、施工升降电梯关键受力节点螺栓上安装螺栓松动监测传感器，不间断监测判定螺栓的紧固状态和松动趋势</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2、当检测到螺母松动异常状态时声光报警，并将报警信息、采取措施消除警报后处理信息向项目平台上传</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1、每个设备安装数量宜不少于其螺栓总数量的10%</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11</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高支模监测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1、高大模板支承体系均应采取高支模监测系统，关键点安装相应传感器，检测混凝土浇筑过程中模板沉降、立杆轴力、立杆倾斜和模板水平位移等</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2、当检测数据超过设定指标进行报警，相关管理人员接到报警信息后，应立即采取措施消除隐患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3、高支模监测系统持续监测时间不低于72小时并留存相关记录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1、监测数据宜上传企业平台进行数据积累及分析利用，形成相应的分析报告</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12</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卸料平台监测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1、悬挑式卸料平台应安装卸料平台监测系统，实时检测、记录卸料平台载物重量、倾斜角度及载重百分比。软件运行良好，数据真实有效</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2、当检测到载物重量超限时声光报警以及推送至管理人员，相关管理人员接到报警信息后，应立即采取措施消除隐患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1、除悬挑式卸料平台外其他形式卸料平台宜安装卸料平台监测系统</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13</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VR 安全教育</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1、VR安全教育应覆盖高处坠落、物体打击、火灾、机械伤害、触电、坍塌等安全事故伤害类型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2、VR安全教育应具备记录工人体验内容、时长，输出本地培训表格功能，对个人受教育情况可汇总查询，将培训结果、安全教育信息上传至项目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1、VR安全教育宜具备导入外部 BIM 模型，使工人可以在本项目的场地布置模型中进行安全事故体验</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2、新工人入场、入场后宜进行 VR 体验式安全教育并形成汇总数据记录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智能烟感</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1、在项目办公区、生活区、工人宿舍应实现智能烟感探测，24 小时实时在线监控</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2、当烟感浓度超量时，应能自动声光报警并推送信息，相关管理人员应立即采取措施消除隐患，报警信息同步上传</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塔机激光定位系统</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1、有夜间施工需求的项目应安装塔机激光定位器，激光器在塔机小车上，竖直向下发射激光</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2、激光强度适宜、精准定位，夜视效果清晰，激光器应具备多级调光功能，满足不同施工环境需要，符合国家安全标准</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吊篮监测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1、吊篮基本及使用情况信息应按照行业平台要求进行信息共享，项目级平台具有吊篮信息查看功能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2、所有吊篮应安装监测设备，通过平台查询吊篮载重、环境风速、横向倾斜角度、纵向倾斜角度监测、预警、报警功能等，设备运行良好，留存相关记录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3、当检测到吊篮出现预警信息后进行声光报警，并将预警、报警信息推送至相关管理人员，相关管理人员接到报警信息后，应立即采取措施消除隐患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外墙脚手架监测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1、外墙脚手架应安装传感器，具备对外墙脚手架架体区块设置及对其水平位移、倾斜数据监测、报警功能。监测数据真实有效，数据留存完整</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2、当检测到外墙脚手架出现预警信息后进行声光报警，并将预警、报警信息推送至相关管理人员，相关管理人员接到报警信息后，应立即采取措施消除隐患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18</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钢结构安全监测</w:t>
            </w:r>
          </w:p>
        </w:tc>
        <w:tc>
          <w:tcPr>
            <w:tcW w:w="1015"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1、项目平台应对钢结构安全监测方案进行管理，并在实施前提报行业平台</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2、应具备对钢结构工程主要构件、关键节点应力应变变化及趋势进行检测、监测、报警功能，保证大体量钢结构建造过程中不同工况下的稳定性</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3、相关管理人员接到报警信息后，应立即采取措施消除隐患，采取措施消除警报后，应及时将处理信息上传平台</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19</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智能临边防护网监测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1、智能临边防护网监测系统应具备对基坑、施工边界防护网基本信息维护、监测和报警功能</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2、当检测到防护网人为破坏、违规翻越、坠落等事件时声光语音报警以及报警信息推送至管理人员，及时处理并上传平台</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周界防护</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1、周界防护系统应具备周界入侵监测及报警功能</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21</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施工临电箱监测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1、施工临电箱监测系统涉及的漏电、温度、电能监测等监测、传感设备应符合相关标准规定，满足监测需求，应能对施工现场一级临电箱的异常温升、烟雾等异常现象进行实时监测。</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2、当监测项目指标超过阀值时应即时报警以及推送给管理人员。</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22</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库房监测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1、应能够实时监测库房是否有烟雾等异常情况并及时预警</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2、应具备对于库房信息的维护功能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23</w:t>
            </w:r>
          </w:p>
        </w:tc>
        <w:tc>
          <w:tcPr>
            <w:tcW w:w="74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施工质量管理类</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质量管理模块</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1、项目质量管理模块应具备质量方案信息的管理、维护和查询功能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2、项目质量管理模块的质量问题类型与行业平台类型相匹配</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3、应具备质量问题录入、处理、验收销项功能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1、按业务流程完成施工项目、施工公司、监理项目、建设项目相应方案审批，审批宜实现电子签章或签名</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2、质量问题宜与图纸、模型等关联，可通过图纸、模型动态展示分布情况</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3、宜具有按问题类型、问题级别、紧急程度、问题部位等多角度数据分析、展现功能，为提高质量管理效率提供帮助信息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标养室监测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1、标养室/箱监测系统应具备实时监测标养室温度、湿度和按规定阈值报警功能并应每日不少于两次对温、湿度是否符合标准进行复核，并记录复核信息</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2、项目平台应自动记录实时监测、报警、复核数据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3、相应数据信息至少应保存至工程竣工验收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1、标养室/箱监测系统宜与视频监控相结合，拍摄并留存标养箱室运行状况、试块进出箱室情况，试块进出箱室时，主动将其标识等特征信息向摄像设备展现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2、宜分别形成温湿度按日复核、试块进出箱室台帐，与试块试验、试块报告信息关联，按条件汇总试块检测报告，自动完成砼强度评定和强度曲线展现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3、具备维护测量内容和测量规则的能力，宜通过 APP 及智能测量硬件，实现测量结果自动采集和录入保存，系统可自动对测量结果进行多维度分析</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4、支持单位工程分部分项检验批划分、验收和质量标准维护能力</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25</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智慧化分户验收</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1、分户验收工作开始前，制定分户验收实施方案，项目平台应具有方案流程审批和方案管理功能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2、应实现验收人员管理功能，分户验收功能应同时支持电脑端、手机端操作，逐项录入内容、验收结果，并按分户验收要求拍照，或即时录制视频上传。</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每个户别的全部验收内容均验收通过后，才可确认该户验收结果。每个单位工程所有户别均确认验收通过后，才可确认验收通过，分户验收结果应能按户进行统计、汇总、聚合最后验收资料，形成一户一档验收档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1、宜具有维护验收户别及每户验收内容功能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2、验收人员在验收工作前宜通过人脸识别、短信验证或密码登录等手段通过系统验证后开展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业主开放活动智能化</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1、应具备线上邀约、线上预约、在线反馈等功能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2、开放活动应与分户验收一户一档档案资料关联，动态查询并向业主表现验收人员、人员资质、验收内容、验收结果以及分户验收过程中收集的视频、图像资料，听取并记录业主意见与建议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3、应能分批、分次组织业主验房，为业主提供方便快捷的线上、线下或线上线下相结合的不同验房体验方式</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检验检测管理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1、具备现场取样、委托检测见证和对取样、见证人员管理功能。检测数据能实现查询、统计、分析及预警功能，数据真实可靠，软件及设备运行良好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2、取样、见证人员在工作前应通过人脸识别、短信验证或密码登录等手段通过系统验证，无造假现象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3、取样、委托检测及其见证、检测数据应收集留存视频、图像资料等附件，实现平台即时信息共享</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1、通过GPS技术定位取样、委托位置。取样定位超出工地范围、委托定位超出合理委托范围应报警；建设单位落实处理报警事件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2、混凝土、砂浆标准养护试块检测数据宜与标养箱室监测功能关联</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28</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全景成像测距监控</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 必选项）</w:t>
            </w:r>
          </w:p>
        </w:tc>
        <w:tc>
          <w:tcPr>
            <w:tcW w:w="102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1、能在 50 米或更远距离，使用全景成像测距技术对施工作业面钢筋直径、间距等视频图像测量，上传企业、行业平台，实现远程浏览</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2、能对施工现场自动扫描成像，并提报项目平台存储，经全景拼图形成现场监控面全景图</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29</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信息公示标准化</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color w:val="000000"/>
                <w:sz w:val="20"/>
                <w:szCs w:val="20"/>
              </w:rPr>
            </w:pPr>
            <w:r>
              <w:rPr>
                <w:rFonts w:ascii="Arial" w:hAnsi="Arial" w:cs="Arial"/>
                <w:color w:val="000000"/>
                <w:kern w:val="0"/>
                <w:sz w:val="20"/>
                <w:szCs w:val="20"/>
              </w:rPr>
              <w:t xml:space="preserve"> </w:t>
            </w: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1、具备筛选建设过程数据、信息内容（含智慧化分户验收内容），实时汇总形成公示内容，公示内容应上传行业平台</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1、公示内容宜包括以下内容：公示标题、公示时间、公示人、公示内容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30</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VR 质量样板</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1、具备使用VR 虚拟现实技术展现质量样板功能，展现内容宜包括材料、质量、施工工艺、施工流程、技术特点等，应不少于10种常见工艺工法内容</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2、记录学习者学习信息，并与人员管理、教育培训关联</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1、学习信息宜包括培训内容、培训类型、开始时间、培训时长、考核结果、学习单位、培训对象、补充信息等</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2、在展现内容中设置各类隐患、典型错误做法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31</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大体积混凝土测温</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1、具备管理大体积混凝土浇筑温度监测专项方案、实时监测大体积混凝土温度变化功能，应按专项方案设置测温点，测温数据至少需保存至工程竣工</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2、具备预警或报警功能，包括测温点、浇筑体表面温度、上部温度、中部温度、下部温度、报警类型（预警、报警）报警信息及处理，处理结束达到控制效果后</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1、在覆盖养护层底部宜与测温点对应设置，监测并记录每个测温元件处的混凝土入模温度，形成数据保留被查</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2、测温数据经相关人员确认并电子签名后，宜按《资料规程》大体积混凝土测温记录样表形成报表，打印后归档</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桩基数字化监测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1、具备桩基工程施工方案流程审批和方案管理功能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2、具备将桩基工程试验桩、工程桩数量、区域、类型等信息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3、具备上传桩基工程施工、检测过程图片、视频资料功能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33</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强夯数字化监测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1、具备强夯工程施工方案流程审批和方案管理功能</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2、具备上传强夯工程施工过程图片、视频资料、检测过程图片、视频和检测结果功能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智能压浆监测系统</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1、实时监控灌浆压力、灌浆量、构件变形值</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2、根据监测数据，自动形成工程数据报表、质量分析表及相关质量曲线等工程图表等相关信息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35</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智能张拉监测系统</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1、实时对锚索等预应力施工质量数据进行采集</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试验室远程监控系统</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numPr>
                <w:ilvl w:val="0"/>
                <w:numId w:val="4"/>
              </w:numPr>
              <w:ind w:firstLineChars="0"/>
              <w:jc w:val="left"/>
              <w:textAlignment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能接收检测机构的视频、数据信息并能实现远程实时查看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1、对收集到的信息进行数据分析、预警、推送</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拌合站远程监控系统</w:t>
            </w:r>
          </w:p>
        </w:tc>
        <w:tc>
          <w:tcPr>
            <w:tcW w:w="1015"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主控项</w:t>
            </w:r>
          </w:p>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FF0000"/>
                <w:kern w:val="0"/>
                <w:sz w:val="20"/>
                <w:szCs w:val="20"/>
              </w:rPr>
              <w:t>能接收拌合站的视频、数据信息并能实现远程实时查看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FF0000"/>
                <w:sz w:val="20"/>
                <w:szCs w:val="20"/>
              </w:rPr>
            </w:pPr>
            <w:r>
              <w:rPr>
                <w:rFonts w:hint="eastAsia" w:ascii="微软雅黑" w:hAnsi="微软雅黑" w:eastAsia="微软雅黑" w:cs="微软雅黑"/>
                <w:color w:val="FF0000"/>
                <w:kern w:val="0"/>
                <w:sz w:val="20"/>
                <w:szCs w:val="20"/>
              </w:rPr>
              <w:t>1、对收集到的信息进行数据分析、预警、推送</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38</w:t>
            </w:r>
          </w:p>
        </w:tc>
        <w:tc>
          <w:tcPr>
            <w:tcW w:w="74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绿色文明施工类</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环境监测</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1、应在施工现场主出入口内侧视野良好、通风条件良好的位置设置扬尘、噪声气象监测点</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2、监测系统具备24小时全天候实时采集PM10颗粒物、噪音等数据，并具备相应数据实时显示和查看功能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3、具备扬尘、噪声超标现场声光报警与远程报警功能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4、扬尘、噪声监测设备应具备自动校准和设备故障报警提示功能</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5、扬尘检测超限时报警并联动喷淋设备启动自动降尘</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39</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自动喷淋系统</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1、自动喷淋系统应是一个独立系统，实现启动、定时、停止、远程控制、与环境监测系统联动等功能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2、自动喷淋系统至少应包括雾炮喷淋、塔吊喷淋、围挡喷淋等设施，各设备设施应能实现独立控制，也能通过项目平台、手机APP实现联动控制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3、当监测值超限后，即时向喷淋联动器发送信号，启动喷淋装置，下降至监界值以下时关闭</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4、平台可远程查看现场PM监测信息、喷淋设备启动、运行、关闭信息及对PM监测值的影响</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1、宜以图表形式直观呈现PM监测值趋势</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40</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渣土运输管理</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1、每个车辆出入口均应设置渣土运输管理系统，全天候24小时运行</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2、应具备使用AI识别系统对车牌、车盖密闭、车身清洁度进行识别分析功能，实时记录车辆进出项目工地情况</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3、应具备对车牌不清、疑似套牌、车盖密闭不严、车身不净等情景实时声光报警功能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4、终端摄像机抓拍照片支持与抓拍照片前后过程的录像自动关联，智能分析终端应支持对前端抓拍机的图片接收后进行图片二次识别</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1、车辆进出场记录信息包括车牌号码、车辆类型、车身颜色、进出场时间、进出场次数以及图片、视频等</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2、报警信息包括车辆出入口编号、出入口名称、车牌号、报警类型、报警内容、报警时间等</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41</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城市道路保洁管理</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提升项（AAA 必选项）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 1、每个建筑工地出入口处应安装城市道路保洁AI检测分析系统，系统具备对路面脏污 AI 检测分析功能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 2、应对车辆出场不清洗、车身带泥等情况声光报警</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 xml:space="preserve"> 3、接收前端的报警事件和抓拍图片，应具备留存相应信息并支持预览和回放的功能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1、报警信息宜包括报警时间、报警内容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42</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车辆进出场管理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1、每个建筑工地出入口处应安装车辆出入口管理系统，具备对工程车辆进行权限放行和对其他车辆进行认证管理的功能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2、车辆进出场数据信息应提报项目平台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1、系统宜由车牌识别相机、道闸、车辆检测器、信息显示屏、管理平台服务器等组件构成</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2、进出场记录信息包括当前在场车辆数量、车牌号码、车辆类型、车身颜色、进出场时间、进出场次数以及图片、视频等</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43</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夜间施工监测</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1、使用高清夜视摄像头，与车辆进出场管理系统、视频监控系统等相结合，对夜间进出场车辆进行识别及抓拍，记录夜间车辆进出场信息</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污水监测</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1、建筑工程项目宜安装污水监测系统，实现对建筑工地沉降池、生活污水、化粪池等水质实时监测功能</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45</w:t>
            </w:r>
          </w:p>
        </w:tc>
        <w:tc>
          <w:tcPr>
            <w:tcW w:w="747"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施工综合管理类</w:t>
            </w: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智慧工地指挥中心</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 必选项）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1、应能同时或动态切换显示项目视频、项目感知和报警数据，配备必要通讯、广播设备，配置报警事件处理人员</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901"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2、监测系统报警时，指挥中心应声光报警，屏幕可聚焦展现对应报警界面，醒目显示报警区域位置、具体部位、报警类型、报警级别、紧急程度等报警数据和报警视频</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1、宜根据报警事件，结合相应监测功能，自动记录报警事件处置过程数据、视频影像资料</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视频会议</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推广项（AAA 必选项）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1、系统应能接入现场视频监控、会议终端</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2、视频会议系统应与企业平台联通，宜与行业平台联通，并能进行远程指挥调度</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1、宜和智慧工地指挥中心功能结合，调取正在处置中的报警数据、视频及历史数据信息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2、与工程质量相关的会议数据应能保存</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智能物料</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1、应能全面监控称重过程，通过软硬件结合方式实现自助称重，自动采集数据避免作弊行为，即时上传项目平台</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1、对影响结构安全的钢筋、混凝土、装配式构件等进行管理，具备按进场批次对物料建立检测和使用档案，并具有溯源功能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2、宜实现与地磅等称重设备对接、车牌自动识别、人车料视频监控、运单图片上传、移动收发、磅单打印、单据防伪、皮重监测、异常监控、偏差判断等功能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3、宜能实现对钢筋等材料采用计数计量、推定重量的进场计量功能，具备利用 AI 等技术拍照识别钢筋/钢管数量的功能，满足计量单位自动换算、偏差自动判断，自动生成二维码防伪的称重单、专业物料进场表单，避免私自加单、补单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4宜具有按物料、进出场时间、时间段、供应厂商、车辆皮重、偏差情况、智能对账、结算等数据分析功能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5、宜实现实时风险预警、管理应用报告、远程影像监控、APP 可视化管控、APP 消息推送等管理辅助功能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6、宜实现物料进场、退场、入库、出库、使用等信息管理功能，结合 BIM 模型，实现现场各部位材料数据展示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7、装配式构件信息应包括运输、存放等信息，可访问其他管理系统获得相应信息并展现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48</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WIFI 教育</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IFI使用人在接入网络前，通过回答问题或观看视频获得上网权限，每次出现问题数量可以根据需要自行设定，系统随机抽取题库中的问题供WIFI使用人做答，支持WIFI使用人根据需要选择做答题目类型或有兴趣视频</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2、系统应结合工程需要，针对不同工种设置、推送不同类型问题或视频内容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3、项目平台应收集、保存WIFI网络教育信息，包括被教育人、教育内容、开始时间、时长等内容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49</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数字签章管理模块</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1、应具备数字签章应用功能，支持对 PDF、Word、Excel等格式文件进行签章，并实现多单位对同一文件签章功能</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2、应集成山东省数字 CA 证书，确保签章数据来源、合法</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3、支持对导入的电子签章模型进行授权、撤销、管理、查询、维护操作，提供丰富的 API 接口，签章相关操作均可通过 API 接口授权调用完成，宜进行人脸识别、短信密码、用户密码权限验证或使用手写板签署</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1、具备对电子签章使用记录追溯、查询和验证功能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2、提供 SaaS、API/SDK 及本地部署等多种应用模式</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3、项目、企业、政府平台可应用电子签章实现业务办理、表单签署、公文流转，提高办公效率</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50</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进度管理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1、平台应具备标准工作任务库管理功能，并能结合工程需要扩展，标准工作任务库应多项目工程通用，并具有相对稳定性</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2、项目平台应具备根据工程实体、工作任务建立、管理、维护项目施工任务功能，实现任务在线编辑、任务可视化面板、任务导出至外部文件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3、项目风险预警管理应具备里程碑节点、工期管理功能，支持按实际时间自动汇总推算，并向相关责任人推送预警信息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具备施工进度管理功能，可包括项目施工任务管理、项目进度计划、实现现场进度动态跟踪、项目模型可视化、形象进度统计、生产进度看板、进度资料管理、项目风险预警管理、进度调整，并能留存历史进度计划等管理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2、进度计划管理宜实现总计划、期间计划和周计划管理功能，应具备计划外部导入、在线编辑、实时审批、时间维护、自动汇总功能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3、宜实现项目任务进度、劳动力、材料、机械设备、工程量产值统计，全面记录现场施工数据。统计数据应具备自动汇总形成台账功能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4、现场进度及形象进度统计、项目模型可视化、生产进度看板、项目风险预警信息可提报企业</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51</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智能广播</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1、应在施工区、办公区、生活区安装智能广播系统</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1、实现点对点喊话、定位广播、分区域广播功能，不应有双重声、多重声或回声现象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2、智能广播系统宜与 AI 视频监控系统联动，自动识别现场违规行为，联动附近广播系统实现自动告警播报、语音提醒</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52</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工人岗前体检</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1、应在每个工地现场出入口安装岗前体检系统</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2、当检测指标超限时应声光报警</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3、现场管理人员应对报警信息结合人员工种、拟从事具体工作进行复核，监督不适合进场工作的人员离场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1、宜结合人员进出场管理对进场人员进行监测，检测体温、酒精、血压（舒张压、收缩压、脉搏）、血氧（可选）指标，或使用岗前体检设备进行相应指标检测</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53</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测距巡到位</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1、巡检人员在接到新增楼层提示信息后，及时开展巡检工作</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1、宜使用全景成像测距摄像机自动判断当前施工楼层，新增楼层后系统自动推送信息，提醒巡检人员对新增楼层巡检</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2、巡检工作宜与安全巡查、质量检查等功能结合，录入相应检查信息、视频图像文件</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54</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无人机现场巡检</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1、无人机对建筑工程施工现场裸土苫盖和施工过程进行周期性航拍，形成影像资料，辅助进行质量、安全和扬尘管理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2、无人机操作人员需持证上岗，具备操控飞行能力</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3、及时形成巡检影像资料</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4、巡检影像资料可提报企业、行业平台，可在各类工作总结、汇报中应用</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55</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5G+超高清及全景视频</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1、结合现场视频监控功能，使用4K高清智能摄像机、AR 全景等摄像机实现超高清及全景视频录制</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2、施工现场应5G网络覆盖</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1、超高清及全景视频应能远程访问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56</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能源管理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1、在生活办公区和施工区分别安装智能水电表，实时统计监控水、电用量、自动形成月度、年度能源消耗报表</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2、对生活区、办公区设定水电表限值，超限后自行跳闸并报警</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1、宜对生活区、办公区、施工区水电使用量、节能超限情况以图表、数据形式直观展现，能耗信息数据</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90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2、用水方面采取使用节水型临时厕所自动水冲装置、选用节水型施工设备和设施、临时用水一水多用循环使用、车辆冲洗水沉淀回收后再利用、循环使用雨水废水等措施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3、用电方面采取使用节能型施工设备、节能照明灯、严禁使用电炉碘钨灯取暖、杜绝昼夜长明灯等措施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57</w:t>
            </w: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5G+AR 眼镜巡检交互系统</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1、现场人员佩戴 AR 智能设备，按计划路线或根据指令进行巡视，通过设备第一视角共享视频、音频，多终端同步画面，可实现远程指挥调度、无死角观察、检查等现场管理</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1、通过 AR 智能眼镜与异地技术专家进行视频和语音沟通，实现远程帮助现场人员解决问题。</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2、项目管理人员通过远程指挥，提高现场管理效能，实现现场管理实时监管和应急事件远程协同</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58</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人员管理类</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实名制系统（含工人工资支付）</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1、实名制系统应包含分包单位、施工班组、考勤、工人公资等相关信息，并保证真实有效，满足青岛监管要求，进行项目数据按要求接口上传监管平台，并与业务相关部门、公司的数据对接、业务互联</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901"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2、考勤管理应具备考勤信息的收集、记录与数据分析能力，并具有薪资发放统计功能，工人工资模块应具备施工人员薪资的智能分析、欠薪提醒、处理及预警等功能。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59</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智能化考勤</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基础项</w:t>
            </w:r>
          </w:p>
        </w:tc>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1、项目现场在工作区出入口处设置智能门禁系统，记录进出工作区工作人员情况</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2、通过虹膜等生物识别技术对各类人员考勤进场、退场或进出工作区识别。对异常数据进行系统预警提示</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3、应包括在场人员记录编号、时间、在场人数，可通过在场人员记录编号调取查看在场人员情况</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4、应对人员异常信息进行提示，包括超龄、资格证书到期等相关信息,应具有对人员信息、出勤率等数据内容进行统计分析,并满足在企业、行业平台监管需求</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60</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智能安全帽</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1、智能安全帽至少应有定位功能，且不影响安全帽的正常防护功能。智能安全帽应能稳定收发数据。辐射应符合GB18871-2002标准</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2、人员场内位置及跟踪数据，本地存储不小于30日，云端存储宜不小于15日</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1、使用智能安全帽实时统计出勤人数、作业现场人数与人员分布情况，并与人员进场信息比对，辅助管理宜有轨迹跟踪等功能，对异常行为宜声光报警，并即时将报警信息提报企业、行业平台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61</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防疫管理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1、在项目出入口、工作区出入口设置测温设备，数据应和人员自动关联，体温数据可按日期、时间、人员等多角度查看、导出</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2、当识别有超标的体温时，系统进行预警、提醒功能</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62</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技术应用</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工程管控电子沙盘</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推广项（AAA 必选项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1、应用BIM轻量化平台与工程图纸、设计变更、施工进度计划文件等工程管控数据融合，实现高仿真三维模型并根据工程实际进度情况动态调整，按照工程进展情况各阶段留存数据图片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2、应支持导入多种格式模型，模型须保证构件基本信息的完整性，并可通过后期操作加载新的信息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3、BIM 工程管控电子沙盘应实现4D进度模拟，可以动态展现项目计划进度、实际进度情况</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1、模型宜包含倾斜摄影或平面地图等数据，行成数字底板展示项目周边环境、地理信息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2、可在模型上加载、展示安全风险等级及对应区域工程管控信息</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3、通过平台生成工程模拟的视频文件及高清图片</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63</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施工模型</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1、施工模型应根据 BIM 应用相关专业或任务需要创建，根据施工及设计变化进行维护，进而生成竣工验收模型，各阶段均应把BIM模型留档</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1、施工模型宜包含标准化安全及质量样板模型，采用二维码、VR等进行技术交底，模型符合现场实际情况，具有可操作落地性</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2、施工模型宜包含场地布置模型，并根据工程进展及时更新，直观展示不同施工阶段现场平面布置、安全设施、周边环境等情况</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64</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深化设计</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1、深化设计应制定应用策划书，包含设计流程，确定模型校核方式、校核时间、修改时间、交付时间等</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102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所使用的深化设计软件应具备空间协调、工程量统计、深化设计图和报表生成等功能。生成的深化设计图除应包括二维图外，也可包括必要的三维视图。深化设计模型及相关深化图纸、现场实际应用情况对比图片齐全、真实有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1、采用BIM技术对填充墙砌体工程、钢筋及型钢复杂节点、脚手架、钢结构等部分深化设计并出具深化设计图纸，现场实际使用情况与优化模型应有对比展现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2、采用BIM技术对机电安装工程进行深化设计，出具各类单专业平面深化图纸，过程中留存净高分析报告、碰撞报告及问题报告</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3、采用BIM技术对精装修交付住宅工程、公共建筑门厅、电梯厅、大型会议室、重要功能房间等进行深化设计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4、采用BIM技术对装配式建筑宜的钢筋分布、套筒位置、管线预留预埋、预拼装以及复杂节点部位进行深化设计</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65</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可视化技术交底</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1、重要工序交底应编制动画，一般工序交底应采取BIM技术制作三维模板，可以通过手机端查看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2、利用三维模型、BIM漫游或VR虚拟现实技术对全体技术人员进行质量、安全交底，交底应留存照片</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66</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施工工艺模拟</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1、建筑施工工艺应采用BIM技术进行模拟，施工工艺模拟前应完成相关施工方案的编制，确认工艺流程和相关技术要求，工艺模拟应与施工方案相一致</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1、复杂工艺宜制作工艺模拟动画，配有语音说明。工艺应完整、数据准确，达到指导工作深度要求</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67</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智慧化图纸管理</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1、平台具备对施工图纸进行上传、存储、分发、权限分配、版本管理、图纸变更管理功能。移动端具有图纸查看功能，图纸信息应实时更新并保留记录</w:t>
            </w:r>
          </w:p>
        </w:tc>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2、应支持手机端图纸、模型离线缓存，满足网络不佳情况图纸浏览需要</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kern w:val="0"/>
                <w:sz w:val="22"/>
                <w:szCs w:val="22"/>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1、支持设计变更与施工图纸关联，实现双向互联查看；根据施工进度进行变更实施预警提示。现场变更内容上传齐全，记录完整</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nil"/>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2"/>
                <w:szCs w:val="22"/>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2、应支持二维图纸与三维模型联动协作，实现二维、三维图纸结合应用</w:t>
            </w:r>
          </w:p>
        </w:tc>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68</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协同应用等功能</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1、平台应实现多专业模型集成、整合，能关联施工过程质量、安全、进度数据，实现施工过程数据与模型交互、展现，应支持各方获取、更新、管理信息，数据真实有效，更新及时</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2、应支持模型的 PC 端、网页端集成操作，实现多模型集成和整合，整合后的成果可以浏览、漫游</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102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69</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BIM 装配式应用</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1、应以装配式构件跟踪为主线，基于 BIM 模型构件编码关联，实现技术、质量、安全、商务管理应用，打通“构件生产到施工现场”信息互通，实现 BIM构件数据汇总展示、过程留痕</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1、使用可以添加信息的开放式二维码等形式，实现构件生产、安装、交付、使用阶段 “一件一码”，满足现场装配式构件管理需求</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5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70</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建筑工业化类</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智慧展馆</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推广项（AAA 必选、</w:t>
            </w:r>
            <w:r>
              <w:rPr>
                <w:rFonts w:ascii="Arial" w:hAnsi="Arial" w:eastAsia="微软雅黑" w:cs="Arial"/>
                <w:color w:val="000000"/>
                <w:kern w:val="0"/>
                <w:sz w:val="20"/>
                <w:szCs w:val="20"/>
              </w:rPr>
              <w:t xml:space="preserve"> </w:t>
            </w:r>
            <w:r>
              <w:rPr>
                <w:rFonts w:hint="eastAsia" w:ascii="微软雅黑" w:hAnsi="微软雅黑" w:eastAsia="微软雅黑" w:cs="微软雅黑"/>
                <w:color w:val="000000"/>
                <w:kern w:val="0"/>
                <w:sz w:val="20"/>
                <w:szCs w:val="20"/>
              </w:rPr>
              <w:t>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1、馆内应配置屏幕，应用场景应全部采用屏幕进行展示</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48"/>
                <w:szCs w:val="48"/>
              </w:rPr>
            </w:pPr>
            <w:r>
              <w:rPr>
                <w:rFonts w:hint="eastAsia" w:ascii="微软雅黑" w:hAnsi="微软雅黑" w:eastAsia="微软雅黑" w:cs="微软雅黑"/>
                <w:color w:val="000000"/>
                <w:kern w:val="0"/>
                <w:sz w:val="48"/>
                <w:szCs w:val="48"/>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2、现场视频监控、传感器等设备监测数据应传送至展馆内智慧工地展示设备进行动态展示，宜支持电脑端和移动端远程查看</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1、展馆内宜布置AR/VR/MR等技术设备辅助成果展示，展示内容应与施工项目密切配合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2、展馆内宜布置实物模型，与屏幕展示相配合，将应用项目特点、难点、施工工艺或控制关键点准确、清晰表达</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3、展馆内宜使用全息投影，全方位360度立体悬浮影像，可将成像独立展示也可与实物相结合</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04"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4、展馆内宜使用数字沙盘，模拟三维立体影像，并与实体模型的相互对比，效果生动</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48"/>
                <w:szCs w:val="48"/>
              </w:rPr>
            </w:pP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71</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装配式智能建造</w:t>
            </w:r>
          </w:p>
        </w:tc>
        <w:tc>
          <w:tcPr>
            <w:tcW w:w="101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推广项</w:t>
            </w:r>
          </w:p>
        </w:tc>
        <w:tc>
          <w:tcPr>
            <w:tcW w:w="102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1、在装配式建筑施工及管理阶段实现施工方案智能管理、虚拟预拼装、可视化技术交底、预制部件质量跟踪管理、套筒灌浆质量信息化管理等功能</w:t>
            </w:r>
          </w:p>
        </w:tc>
        <w:tc>
          <w:tcPr>
            <w:tcW w:w="700"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nil"/>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一般项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2、使用部品件的三维标准化图集、模块化设计标准、部品族等技术打造装配式建筑的智慧建造</w:t>
            </w:r>
          </w:p>
        </w:tc>
        <w:tc>
          <w:tcPr>
            <w:tcW w:w="700" w:type="dxa"/>
            <w:vMerge w:val="continue"/>
            <w:tcBorders>
              <w:top w:val="nil"/>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nil"/>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nil"/>
              <w:left w:val="single" w:color="000000" w:sz="4" w:space="0"/>
              <w:bottom w:val="nil"/>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68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72</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机器人应用</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1、按实际应用建筑面积配备机器人设备，可实现拆除、建筑测绘、挖掘、砌墙、钢梁焊接等施工任务</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10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73</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三维激光扫描机器人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1、采用三维激光扫描仪以阵列式点云形式获取地形或复杂物体表面的三维空间数据，三维扫描仪的设备基础信息、收集数据、应用图片、效果等信息按照行业平台要求可进行归纳、总结、上传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90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74</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放样机器人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1、采用放线机器人以BIM模型为基准进行现场实际放样。放线机器人的设备基础信息、收集数据、应用图片、效果等信息按照行业平台要求可进行归纳、总结、上传</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102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75</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倾斜摄影技术</w:t>
            </w:r>
          </w:p>
        </w:tc>
        <w:tc>
          <w:tcPr>
            <w:tcW w:w="101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1、通过使用无人机等设备搭载倾斜摄影相机收集项目影像数据，并转化成工地三维模型。设备基础信息、收集数据、应用图片、效果等信息按照行业平台要求可进行归纳、总结、上传</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689"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76</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远程遥控及自动驾驶挖掘机</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提升项</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主控项</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1、具备远程控制和现场人工控制模式的随意切换，现场人工操控应能取得机械的绝对控制权</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MS PGothic" w:hAnsi="MS PGothic" w:eastAsia="MS PGothic" w:cs="MS PGothic"/>
                <w:b/>
                <w:bCs/>
                <w:color w:val="000000"/>
                <w:szCs w:val="24"/>
              </w:rPr>
            </w:pPr>
            <w:r>
              <w:rPr>
                <w:rFonts w:hint="eastAsia" w:ascii="MS PGothic" w:hAnsi="MS PGothic" w:eastAsia="MS PGothic" w:cs="MS PGothic"/>
                <w:b/>
                <w:bCs/>
                <w:color w:val="000000"/>
                <w:kern w:val="0"/>
                <w:szCs w:val="24"/>
              </w:rPr>
              <w:t>◯</w:t>
            </w:r>
          </w:p>
        </w:tc>
      </w:tr>
      <w:tr>
        <w:tblPrEx>
          <w:tblCellMar>
            <w:top w:w="0" w:type="dxa"/>
            <w:left w:w="108" w:type="dxa"/>
            <w:bottom w:w="0" w:type="dxa"/>
            <w:right w:w="108" w:type="dxa"/>
          </w:tblCellMar>
        </w:tblPrEx>
        <w:trPr>
          <w:trHeight w:val="35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2、供现场施工进度、质量等相关信息预警内容</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r>
        <w:tblPrEx>
          <w:tblCellMar>
            <w:top w:w="0" w:type="dxa"/>
            <w:left w:w="108" w:type="dxa"/>
            <w:bottom w:w="0" w:type="dxa"/>
            <w:right w:w="108" w:type="dxa"/>
          </w:tblCellMar>
        </w:tblPrEx>
        <w:trPr>
          <w:trHeight w:val="3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3、设备基础信息、挖掘现场实际照片、操作短视频等信息可上传平台</w:t>
            </w: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MS PGothic" w:hAnsi="MS PGothic" w:eastAsia="MS PGothic" w:cs="MS PGothic"/>
                <w:b/>
                <w:bCs/>
                <w:color w:val="000000"/>
                <w:szCs w:val="24"/>
              </w:rPr>
            </w:pPr>
          </w:p>
        </w:tc>
      </w:tr>
    </w:tbl>
    <w:p>
      <w:pPr>
        <w:pStyle w:val="12"/>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2"/>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2"/>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p>
      <w:pPr>
        <w:pStyle w:val="12"/>
        <w:numPr>
          <w:ilvl w:val="0"/>
          <w:numId w:val="0"/>
        </w:numPr>
        <w:tabs>
          <w:tab w:val="left" w:pos="608"/>
        </w:tabs>
        <w:spacing w:before="0" w:after="0" w:line="480" w:lineRule="auto"/>
        <w:ind w:right="0" w:rightChars="0"/>
        <w:jc w:val="both"/>
        <w:rPr>
          <w:rFonts w:hint="eastAsia" w:ascii="黑体" w:hAnsi="黑体" w:eastAsia="黑体" w:cs="黑体"/>
          <w:sz w:val="21"/>
          <w:szCs w:val="21"/>
          <w:lang w:val="en-US" w:eastAsia="zh-CN"/>
        </w:rPr>
      </w:pPr>
    </w:p>
    <w:sectPr>
      <w:footerReference r:id="rId9" w:type="default"/>
      <w:pgSz w:w="16840" w:h="11910" w:orient="landscape"/>
      <w:pgMar w:top="840" w:right="1460" w:bottom="840" w:left="1440" w:header="0" w:footer="12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袆..">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55" o:spid="_x0000_s205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w:r>
    <w: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6"/>
                  <w:jc w:val="cente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1365" o:spid="_x0000_s2053" o:spt="136" type="#_x0000_t136" style="position:absolute;left:0pt;height:108.95pt;width:478.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87"/>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5814"/>
    <w:multiLevelType w:val="singleLevel"/>
    <w:tmpl w:val="8EF95814"/>
    <w:lvl w:ilvl="0" w:tentative="0">
      <w:start w:val="1"/>
      <w:numFmt w:val="lowerLetter"/>
      <w:lvlText w:val="%1)"/>
      <w:lvlJc w:val="left"/>
      <w:pPr>
        <w:tabs>
          <w:tab w:val="left" w:pos="312"/>
        </w:tabs>
      </w:pPr>
    </w:lvl>
  </w:abstractNum>
  <w:abstractNum w:abstractNumId="1">
    <w:nsid w:val="DAF07D2C"/>
    <w:multiLevelType w:val="singleLevel"/>
    <w:tmpl w:val="DAF07D2C"/>
    <w:lvl w:ilvl="0" w:tentative="0">
      <w:start w:val="1"/>
      <w:numFmt w:val="lowerLetter"/>
      <w:lvlText w:val="%1)"/>
      <w:lvlJc w:val="left"/>
      <w:pPr>
        <w:tabs>
          <w:tab w:val="left" w:pos="312"/>
        </w:tabs>
      </w:pPr>
    </w:lvl>
  </w:abstractNum>
  <w:abstractNum w:abstractNumId="2">
    <w:nsid w:val="0053208E"/>
    <w:multiLevelType w:val="multilevel"/>
    <w:tmpl w:val="0053208E"/>
    <w:lvl w:ilvl="0" w:tentative="0">
      <w:start w:val="1"/>
      <w:numFmt w:val="decimal"/>
      <w:lvlText w:val="%1"/>
      <w:lvlJc w:val="left"/>
      <w:pPr>
        <w:ind w:left="554" w:hanging="315"/>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921"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54" w:hanging="473"/>
      </w:pPr>
      <w:rPr>
        <w:rFonts w:hint="default"/>
        <w:lang w:val="zh-CN" w:eastAsia="zh-CN" w:bidi="zh-CN"/>
      </w:rPr>
    </w:lvl>
    <w:lvl w:ilvl="3" w:tentative="0">
      <w:start w:val="0"/>
      <w:numFmt w:val="bullet"/>
      <w:lvlText w:val="•"/>
      <w:lvlJc w:val="left"/>
      <w:pPr>
        <w:ind w:left="2988" w:hanging="473"/>
      </w:pPr>
      <w:rPr>
        <w:rFonts w:hint="default"/>
        <w:lang w:val="zh-CN" w:eastAsia="zh-CN" w:bidi="zh-CN"/>
      </w:rPr>
    </w:lvl>
    <w:lvl w:ilvl="4" w:tentative="0">
      <w:start w:val="0"/>
      <w:numFmt w:val="bullet"/>
      <w:lvlText w:val="•"/>
      <w:lvlJc w:val="left"/>
      <w:pPr>
        <w:ind w:left="4022" w:hanging="473"/>
      </w:pPr>
      <w:rPr>
        <w:rFonts w:hint="default"/>
        <w:lang w:val="zh-CN" w:eastAsia="zh-CN" w:bidi="zh-CN"/>
      </w:rPr>
    </w:lvl>
    <w:lvl w:ilvl="5" w:tentative="0">
      <w:start w:val="0"/>
      <w:numFmt w:val="bullet"/>
      <w:lvlText w:val="•"/>
      <w:lvlJc w:val="left"/>
      <w:pPr>
        <w:ind w:left="5056" w:hanging="473"/>
      </w:pPr>
      <w:rPr>
        <w:rFonts w:hint="default"/>
        <w:lang w:val="zh-CN" w:eastAsia="zh-CN" w:bidi="zh-CN"/>
      </w:rPr>
    </w:lvl>
    <w:lvl w:ilvl="6" w:tentative="0">
      <w:start w:val="0"/>
      <w:numFmt w:val="bullet"/>
      <w:lvlText w:val="•"/>
      <w:lvlJc w:val="left"/>
      <w:pPr>
        <w:ind w:left="6090" w:hanging="473"/>
      </w:pPr>
      <w:rPr>
        <w:rFonts w:hint="default"/>
        <w:lang w:val="zh-CN" w:eastAsia="zh-CN" w:bidi="zh-CN"/>
      </w:rPr>
    </w:lvl>
    <w:lvl w:ilvl="7" w:tentative="0">
      <w:start w:val="0"/>
      <w:numFmt w:val="bullet"/>
      <w:lvlText w:val="•"/>
      <w:lvlJc w:val="left"/>
      <w:pPr>
        <w:ind w:left="7124" w:hanging="473"/>
      </w:pPr>
      <w:rPr>
        <w:rFonts w:hint="default"/>
        <w:lang w:val="zh-CN" w:eastAsia="zh-CN" w:bidi="zh-CN"/>
      </w:rPr>
    </w:lvl>
    <w:lvl w:ilvl="8" w:tentative="0">
      <w:start w:val="0"/>
      <w:numFmt w:val="bullet"/>
      <w:lvlText w:val="•"/>
      <w:lvlJc w:val="left"/>
      <w:pPr>
        <w:ind w:left="8158" w:hanging="473"/>
      </w:pPr>
      <w:rPr>
        <w:rFonts w:hint="default"/>
        <w:lang w:val="zh-CN" w:eastAsia="zh-CN" w:bidi="zh-CN"/>
      </w:rPr>
    </w:lvl>
  </w:abstractNum>
  <w:abstractNum w:abstractNumId="3">
    <w:nsid w:val="379C0FED"/>
    <w:multiLevelType w:val="multilevel"/>
    <w:tmpl w:val="379C0F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1E4BDC"/>
    <w:rsid w:val="003A2A0D"/>
    <w:rsid w:val="00583D34"/>
    <w:rsid w:val="015C2A96"/>
    <w:rsid w:val="018D602B"/>
    <w:rsid w:val="0200631C"/>
    <w:rsid w:val="02985011"/>
    <w:rsid w:val="04045160"/>
    <w:rsid w:val="040C74DD"/>
    <w:rsid w:val="04151A97"/>
    <w:rsid w:val="045C2540"/>
    <w:rsid w:val="046E4007"/>
    <w:rsid w:val="0549280F"/>
    <w:rsid w:val="057B0F64"/>
    <w:rsid w:val="060B7AA0"/>
    <w:rsid w:val="068B4B97"/>
    <w:rsid w:val="07095DA6"/>
    <w:rsid w:val="09691538"/>
    <w:rsid w:val="09BB0235"/>
    <w:rsid w:val="0AE3544B"/>
    <w:rsid w:val="0B8F41E5"/>
    <w:rsid w:val="0C1C0249"/>
    <w:rsid w:val="0C616187"/>
    <w:rsid w:val="0CA508C4"/>
    <w:rsid w:val="0CD10B90"/>
    <w:rsid w:val="0D9A081C"/>
    <w:rsid w:val="0DBC6906"/>
    <w:rsid w:val="0E617B3D"/>
    <w:rsid w:val="0E6B7F44"/>
    <w:rsid w:val="0E970085"/>
    <w:rsid w:val="0EAF7396"/>
    <w:rsid w:val="0EF228B4"/>
    <w:rsid w:val="0F2303A2"/>
    <w:rsid w:val="10293DA0"/>
    <w:rsid w:val="10734FA3"/>
    <w:rsid w:val="10B75D78"/>
    <w:rsid w:val="10D3390F"/>
    <w:rsid w:val="10E91FBB"/>
    <w:rsid w:val="11136BA7"/>
    <w:rsid w:val="11443916"/>
    <w:rsid w:val="118C4FE7"/>
    <w:rsid w:val="119C6520"/>
    <w:rsid w:val="12133507"/>
    <w:rsid w:val="12474DD4"/>
    <w:rsid w:val="124A447B"/>
    <w:rsid w:val="129D61A0"/>
    <w:rsid w:val="137F78AD"/>
    <w:rsid w:val="142907FD"/>
    <w:rsid w:val="14500E40"/>
    <w:rsid w:val="14675FFE"/>
    <w:rsid w:val="14CC4ADF"/>
    <w:rsid w:val="15DF609C"/>
    <w:rsid w:val="16156EED"/>
    <w:rsid w:val="16C33A84"/>
    <w:rsid w:val="1735745B"/>
    <w:rsid w:val="178B1D10"/>
    <w:rsid w:val="17BA6360"/>
    <w:rsid w:val="17F75FA2"/>
    <w:rsid w:val="1812201E"/>
    <w:rsid w:val="189F3AE5"/>
    <w:rsid w:val="18CC3F06"/>
    <w:rsid w:val="19491F8B"/>
    <w:rsid w:val="194B416F"/>
    <w:rsid w:val="1A2E2E74"/>
    <w:rsid w:val="1A9F7C56"/>
    <w:rsid w:val="1AAE7433"/>
    <w:rsid w:val="1BCF72D8"/>
    <w:rsid w:val="1C294E63"/>
    <w:rsid w:val="1C401D12"/>
    <w:rsid w:val="1CBE4C1C"/>
    <w:rsid w:val="1D491D47"/>
    <w:rsid w:val="1DB10F18"/>
    <w:rsid w:val="1DC2540C"/>
    <w:rsid w:val="1E463FDA"/>
    <w:rsid w:val="1E4E5B14"/>
    <w:rsid w:val="1EF53E4E"/>
    <w:rsid w:val="1FB3603E"/>
    <w:rsid w:val="1FDA7A4E"/>
    <w:rsid w:val="1FDF1F52"/>
    <w:rsid w:val="22300900"/>
    <w:rsid w:val="228520B5"/>
    <w:rsid w:val="24EC3217"/>
    <w:rsid w:val="25476330"/>
    <w:rsid w:val="25544FEB"/>
    <w:rsid w:val="25655BF5"/>
    <w:rsid w:val="25791573"/>
    <w:rsid w:val="257E27B3"/>
    <w:rsid w:val="25BC74E8"/>
    <w:rsid w:val="270202B0"/>
    <w:rsid w:val="27242AB7"/>
    <w:rsid w:val="27BB4418"/>
    <w:rsid w:val="27FA4D8F"/>
    <w:rsid w:val="2811559A"/>
    <w:rsid w:val="289075CF"/>
    <w:rsid w:val="28BB504E"/>
    <w:rsid w:val="29B84174"/>
    <w:rsid w:val="2A193F17"/>
    <w:rsid w:val="2B8F5D29"/>
    <w:rsid w:val="2BAA5D4F"/>
    <w:rsid w:val="2BF54A59"/>
    <w:rsid w:val="2CCA547B"/>
    <w:rsid w:val="2CF54B2B"/>
    <w:rsid w:val="2D2026B4"/>
    <w:rsid w:val="2E2329B6"/>
    <w:rsid w:val="2E2846E0"/>
    <w:rsid w:val="2F5961DE"/>
    <w:rsid w:val="2F94696F"/>
    <w:rsid w:val="2FE109B8"/>
    <w:rsid w:val="319E08D6"/>
    <w:rsid w:val="32C82146"/>
    <w:rsid w:val="333D20C6"/>
    <w:rsid w:val="33C41640"/>
    <w:rsid w:val="34C7230B"/>
    <w:rsid w:val="34D34C01"/>
    <w:rsid w:val="34E332BF"/>
    <w:rsid w:val="354928E2"/>
    <w:rsid w:val="35600729"/>
    <w:rsid w:val="363F7FF0"/>
    <w:rsid w:val="365A47E9"/>
    <w:rsid w:val="36B11A8D"/>
    <w:rsid w:val="36EA1419"/>
    <w:rsid w:val="37264FB9"/>
    <w:rsid w:val="381B720D"/>
    <w:rsid w:val="38416099"/>
    <w:rsid w:val="38AD406B"/>
    <w:rsid w:val="38AF5444"/>
    <w:rsid w:val="38F7172B"/>
    <w:rsid w:val="39577778"/>
    <w:rsid w:val="39E57B17"/>
    <w:rsid w:val="3AC31D2D"/>
    <w:rsid w:val="3B345E09"/>
    <w:rsid w:val="3BB13A1B"/>
    <w:rsid w:val="3BF43A62"/>
    <w:rsid w:val="3CA52D31"/>
    <w:rsid w:val="3CB05007"/>
    <w:rsid w:val="3D577AB0"/>
    <w:rsid w:val="3D671EE0"/>
    <w:rsid w:val="3DA621AC"/>
    <w:rsid w:val="3DCE17F3"/>
    <w:rsid w:val="3DD208E6"/>
    <w:rsid w:val="3E243ABE"/>
    <w:rsid w:val="3E33305B"/>
    <w:rsid w:val="3ED624A8"/>
    <w:rsid w:val="3F234E03"/>
    <w:rsid w:val="3FA92DC7"/>
    <w:rsid w:val="400545B4"/>
    <w:rsid w:val="407925B8"/>
    <w:rsid w:val="409627E6"/>
    <w:rsid w:val="41D82BC0"/>
    <w:rsid w:val="427C1CEF"/>
    <w:rsid w:val="42B11D02"/>
    <w:rsid w:val="42EC11A7"/>
    <w:rsid w:val="42FC4700"/>
    <w:rsid w:val="430E5B75"/>
    <w:rsid w:val="43BF7CCC"/>
    <w:rsid w:val="442E3086"/>
    <w:rsid w:val="449D122F"/>
    <w:rsid w:val="457C1203"/>
    <w:rsid w:val="45FE05A8"/>
    <w:rsid w:val="46504E9C"/>
    <w:rsid w:val="46702176"/>
    <w:rsid w:val="46740C79"/>
    <w:rsid w:val="46816FE7"/>
    <w:rsid w:val="47045E94"/>
    <w:rsid w:val="47451C93"/>
    <w:rsid w:val="47EB0C8F"/>
    <w:rsid w:val="480A6FC7"/>
    <w:rsid w:val="48194464"/>
    <w:rsid w:val="48B662D5"/>
    <w:rsid w:val="48CE31AE"/>
    <w:rsid w:val="496712EE"/>
    <w:rsid w:val="4A27720B"/>
    <w:rsid w:val="4A3B4A5F"/>
    <w:rsid w:val="4AFD2045"/>
    <w:rsid w:val="4B240952"/>
    <w:rsid w:val="4B2D33F1"/>
    <w:rsid w:val="4C1E5756"/>
    <w:rsid w:val="4CFD2EAF"/>
    <w:rsid w:val="4DCB7892"/>
    <w:rsid w:val="4E4E605A"/>
    <w:rsid w:val="4FE51766"/>
    <w:rsid w:val="50220E81"/>
    <w:rsid w:val="509C01EA"/>
    <w:rsid w:val="50C87C43"/>
    <w:rsid w:val="50FA704B"/>
    <w:rsid w:val="51A30F5B"/>
    <w:rsid w:val="51F92048"/>
    <w:rsid w:val="52CF75E0"/>
    <w:rsid w:val="536C62AE"/>
    <w:rsid w:val="53B13272"/>
    <w:rsid w:val="546C693C"/>
    <w:rsid w:val="547E156C"/>
    <w:rsid w:val="549645FC"/>
    <w:rsid w:val="554E44B1"/>
    <w:rsid w:val="55CF4365"/>
    <w:rsid w:val="565253D0"/>
    <w:rsid w:val="565258E6"/>
    <w:rsid w:val="567E5041"/>
    <w:rsid w:val="56E15A09"/>
    <w:rsid w:val="57233760"/>
    <w:rsid w:val="573E3EEC"/>
    <w:rsid w:val="57B264B4"/>
    <w:rsid w:val="581C0803"/>
    <w:rsid w:val="5873381E"/>
    <w:rsid w:val="58923C91"/>
    <w:rsid w:val="58A57955"/>
    <w:rsid w:val="58AE1B20"/>
    <w:rsid w:val="58EA3EE4"/>
    <w:rsid w:val="59376D93"/>
    <w:rsid w:val="5AB525B6"/>
    <w:rsid w:val="5AED60A9"/>
    <w:rsid w:val="5AEF08DB"/>
    <w:rsid w:val="5B596C68"/>
    <w:rsid w:val="5B683BED"/>
    <w:rsid w:val="5B9831FB"/>
    <w:rsid w:val="5B986327"/>
    <w:rsid w:val="5C3C0E4A"/>
    <w:rsid w:val="5CCC662F"/>
    <w:rsid w:val="5DD81AF1"/>
    <w:rsid w:val="5E2D686C"/>
    <w:rsid w:val="5E3A3B94"/>
    <w:rsid w:val="5E760CD7"/>
    <w:rsid w:val="5F1D18B0"/>
    <w:rsid w:val="5F874AB0"/>
    <w:rsid w:val="5FFF7AC3"/>
    <w:rsid w:val="60244F5F"/>
    <w:rsid w:val="60AC71A9"/>
    <w:rsid w:val="60C61BD4"/>
    <w:rsid w:val="60D363CE"/>
    <w:rsid w:val="60D612B7"/>
    <w:rsid w:val="624F1149"/>
    <w:rsid w:val="625770EE"/>
    <w:rsid w:val="62E73C16"/>
    <w:rsid w:val="632533DE"/>
    <w:rsid w:val="632C37D4"/>
    <w:rsid w:val="637A3918"/>
    <w:rsid w:val="63C80149"/>
    <w:rsid w:val="648F2F17"/>
    <w:rsid w:val="64E5053B"/>
    <w:rsid w:val="656A1974"/>
    <w:rsid w:val="657F44F0"/>
    <w:rsid w:val="66457AF3"/>
    <w:rsid w:val="67C765E9"/>
    <w:rsid w:val="685D180D"/>
    <w:rsid w:val="68F208A1"/>
    <w:rsid w:val="69B9456E"/>
    <w:rsid w:val="6A695F03"/>
    <w:rsid w:val="6AF50973"/>
    <w:rsid w:val="6B511A74"/>
    <w:rsid w:val="6B573D18"/>
    <w:rsid w:val="6CAF692B"/>
    <w:rsid w:val="6D5409FF"/>
    <w:rsid w:val="6D691518"/>
    <w:rsid w:val="6DE90D47"/>
    <w:rsid w:val="6E262E65"/>
    <w:rsid w:val="6E59490A"/>
    <w:rsid w:val="6E8D7E03"/>
    <w:rsid w:val="6EA80165"/>
    <w:rsid w:val="6EED6A40"/>
    <w:rsid w:val="6F644806"/>
    <w:rsid w:val="70283CE1"/>
    <w:rsid w:val="71253BBB"/>
    <w:rsid w:val="713673BA"/>
    <w:rsid w:val="71E04E51"/>
    <w:rsid w:val="72FD6B7F"/>
    <w:rsid w:val="73331460"/>
    <w:rsid w:val="736B1332"/>
    <w:rsid w:val="7383741B"/>
    <w:rsid w:val="73EA309C"/>
    <w:rsid w:val="73F47A16"/>
    <w:rsid w:val="73F875F5"/>
    <w:rsid w:val="74B2766D"/>
    <w:rsid w:val="74D9229C"/>
    <w:rsid w:val="74DD65B7"/>
    <w:rsid w:val="75C23561"/>
    <w:rsid w:val="76E01093"/>
    <w:rsid w:val="77160D04"/>
    <w:rsid w:val="77DC05E0"/>
    <w:rsid w:val="78591AB9"/>
    <w:rsid w:val="7A361BCA"/>
    <w:rsid w:val="7C185EA4"/>
    <w:rsid w:val="7C1A01F9"/>
    <w:rsid w:val="7D1747D1"/>
    <w:rsid w:val="7E59608B"/>
    <w:rsid w:val="7E693BFF"/>
    <w:rsid w:val="7EF37765"/>
    <w:rsid w:val="7FAC6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jc w:val="center"/>
      <w:outlineLvl w:val="1"/>
    </w:pPr>
    <w:rPr>
      <w:rFonts w:ascii="Times New Roman" w:hAnsi="Times New Roman" w:eastAsia="Times New Roman" w:cs="Times New Roman"/>
      <w:sz w:val="28"/>
      <w:szCs w:val="28"/>
      <w:lang w:val="zh-CN" w:eastAsia="zh-CN" w:bidi="zh-CN"/>
    </w:rPr>
  </w:style>
  <w:style w:type="paragraph" w:styleId="4">
    <w:name w:val="heading 2"/>
    <w:basedOn w:val="1"/>
    <w:next w:val="1"/>
    <w:qFormat/>
    <w:uiPriority w:val="1"/>
    <w:pPr>
      <w:outlineLvl w:val="2"/>
    </w:pPr>
    <w:rPr>
      <w:rFonts w:ascii="宋体" w:hAnsi="宋体" w:eastAsia="宋体" w:cs="宋体"/>
      <w:sz w:val="24"/>
      <w:szCs w:val="24"/>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袆.." w:hAnsi="Times New Roman" w:eastAsia="宋体袆.." w:cs="宋体袆.."/>
      <w:color w:val="000000"/>
      <w:sz w:val="24"/>
      <w:szCs w:val="24"/>
      <w:lang w:val="en-US" w:eastAsia="zh-CN" w:bidi="ar-SA"/>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712" w:hanging="473"/>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样式1"/>
    <w:basedOn w:val="1"/>
    <w:qFormat/>
    <w:uiPriority w:val="0"/>
    <w:pPr>
      <w:tabs>
        <w:tab w:val="left" w:pos="6"/>
      </w:tabs>
      <w:spacing w:line="360" w:lineRule="auto"/>
      <w:ind w:firstLine="480" w:firstLineChars="200"/>
      <w:jc w:val="left"/>
    </w:pPr>
    <w:rPr>
      <w:rFonts w:ascii="仿宋" w:hAnsi="仿宋" w:eastAsia="仿宋"/>
      <w:sz w:val="24"/>
      <w:szCs w:val="24"/>
    </w:rPr>
  </w:style>
  <w:style w:type="paragraph" w:customStyle="1" w:styleId="15">
    <w:name w:val="A-正文文本"/>
    <w:basedOn w:val="1"/>
    <w:qFormat/>
    <w:uiPriority w:val="0"/>
    <w:pPr>
      <w:spacing w:line="360" w:lineRule="auto"/>
      <w:ind w:firstLine="560" w:firstLineChars="200"/>
    </w:pPr>
    <w:rPr>
      <w:rFonts w:ascii="宋体"/>
      <w:szCs w:val="24"/>
    </w:rPr>
  </w:style>
  <w:style w:type="paragraph" w:customStyle="1" w:styleId="16">
    <w:name w:val="条文"/>
    <w:basedOn w:val="1"/>
    <w:next w:val="1"/>
    <w:qFormat/>
    <w:uiPriority w:val="20"/>
    <w:pPr>
      <w:spacing w:beforeLines="50"/>
    </w:pPr>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5"/>
    <customShpInfo spid="_x0000_s2056"/>
    <customShpInfo spid="_x0000_s2054"/>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2021-06-16T05:01:00Z</dcterms:created>
  <dc:creator>chi baihao</dc:creator>
  <cp:lastModifiedBy>天外天</cp:lastModifiedBy>
  <dcterms:modified xsi:type="dcterms:W3CDTF">2021-06-17T10:17:51Z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WPS 文字</vt:lpwstr>
  </property>
  <property fmtid="{D5CDD505-2E9C-101B-9397-08002B2CF9AE}" pid="4" name="LastSaved">
    <vt:filetime>2021-06-16T00:00:00Z</vt:filetime>
  </property>
  <property fmtid="{D5CDD505-2E9C-101B-9397-08002B2CF9AE}" pid="5" name="KSOProductBuildVer">
    <vt:lpwstr>2052-11.1.0.10577</vt:lpwstr>
  </property>
  <property fmtid="{D5CDD505-2E9C-101B-9397-08002B2CF9AE}" pid="6" name="ICV">
    <vt:lpwstr>4BAEEFBD73614C78855371F2CAADCD65</vt:lpwstr>
  </property>
</Properties>
</file>